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charts/chart4.xml" ContentType="application/vnd.openxmlformats-officedocument.drawingml.chart+xml"/>
  <Override PartName="/word/charts/style4.xml" ContentType="application/vnd.ms-office.chartstyle+xml"/>
  <Override PartName="/word/charts/colors4.xml" ContentType="application/vnd.ms-office.chartcolorstyle+xml"/>
  <Override PartName="/word/charts/chart5.xml" ContentType="application/vnd.openxmlformats-officedocument.drawingml.chart+xml"/>
  <Override PartName="/word/charts/style5.xml" ContentType="application/vnd.ms-office.chartstyle+xml"/>
  <Override PartName="/word/charts/colors5.xml" ContentType="application/vnd.ms-office.chartcolorstyle+xml"/>
  <Override PartName="/word/charts/chart6.xml" ContentType="application/vnd.openxmlformats-officedocument.drawingml.chart+xml"/>
  <Override PartName="/word/charts/style6.xml" ContentType="application/vnd.ms-office.chartstyle+xml"/>
  <Override PartName="/word/charts/colors6.xml" ContentType="application/vnd.ms-office.chartcolorstyle+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a"/>
        <w:tblW w:w="9115" w:type="dxa"/>
        <w:tblBorders>
          <w:top w:val="single" w:sz="12" w:space="0" w:color="000000"/>
          <w:bottom w:val="single" w:sz="18" w:space="0" w:color="000000"/>
        </w:tblBorders>
        <w:tblLayout w:type="fixed"/>
        <w:tblLook w:val="0400" w:firstRow="0" w:lastRow="0" w:firstColumn="0" w:lastColumn="0" w:noHBand="0" w:noVBand="1"/>
      </w:tblPr>
      <w:tblGrid>
        <w:gridCol w:w="1470"/>
        <w:gridCol w:w="6558"/>
        <w:gridCol w:w="1087"/>
      </w:tblGrid>
      <w:tr w:rsidR="00AC329A" w:rsidRPr="00FA5649" w14:paraId="4052929D" w14:textId="77777777">
        <w:tc>
          <w:tcPr>
            <w:tcW w:w="1470" w:type="dxa"/>
            <w:vAlign w:val="center"/>
          </w:tcPr>
          <w:p w14:paraId="3BE1702D" w14:textId="77777777" w:rsidR="00AC329A" w:rsidRPr="00FA5649" w:rsidRDefault="008E08C7" w:rsidP="00FC1F1D">
            <w:pPr>
              <w:spacing w:line="276" w:lineRule="auto"/>
              <w:ind w:right="10"/>
              <w:rPr>
                <w:rFonts w:ascii="Arial" w:eastAsia="Arial" w:hAnsi="Arial" w:cs="Arial"/>
                <w:b/>
                <w:sz w:val="20"/>
                <w:szCs w:val="20"/>
              </w:rPr>
            </w:pPr>
            <w:r w:rsidRPr="00FA5649">
              <w:rPr>
                <w:rFonts w:ascii="Arial" w:eastAsia="Arial" w:hAnsi="Arial" w:cs="Arial"/>
                <w:noProof/>
                <w:sz w:val="20"/>
                <w:szCs w:val="20"/>
                <w:lang w:val="en-US" w:eastAsia="en-US"/>
              </w:rPr>
              <w:drawing>
                <wp:inline distT="0" distB="0" distL="0" distR="0" wp14:anchorId="318C7A66" wp14:editId="754078F0">
                  <wp:extent cx="770890" cy="737235"/>
                  <wp:effectExtent l="0" t="0" r="0" b="0"/>
                  <wp:docPr id="27" name="image7.jpg" descr="International Journal of Advancement in Life Sciences Research (IJALSR)"/>
                  <wp:cNvGraphicFramePr/>
                  <a:graphic xmlns:a="http://schemas.openxmlformats.org/drawingml/2006/main">
                    <a:graphicData uri="http://schemas.openxmlformats.org/drawingml/2006/picture">
                      <pic:pic xmlns:pic="http://schemas.openxmlformats.org/drawingml/2006/picture">
                        <pic:nvPicPr>
                          <pic:cNvPr id="0" name="image7.jpg" descr="International Journal of Advancement in Life Sciences Research (IJALSR)"/>
                          <pic:cNvPicPr preferRelativeResize="0"/>
                        </pic:nvPicPr>
                        <pic:blipFill>
                          <a:blip r:embed="rId9" cstate="print"/>
                          <a:srcRect l="1329" r="86862" b="-371"/>
                          <a:stretch>
                            <a:fillRect/>
                          </a:stretch>
                        </pic:blipFill>
                        <pic:spPr>
                          <a:xfrm>
                            <a:off x="0" y="0"/>
                            <a:ext cx="770890" cy="737235"/>
                          </a:xfrm>
                          <a:prstGeom prst="rect">
                            <a:avLst/>
                          </a:prstGeom>
                          <a:ln/>
                        </pic:spPr>
                      </pic:pic>
                    </a:graphicData>
                  </a:graphic>
                </wp:inline>
              </w:drawing>
            </w:r>
          </w:p>
        </w:tc>
        <w:tc>
          <w:tcPr>
            <w:tcW w:w="6558" w:type="dxa"/>
            <w:vAlign w:val="center"/>
          </w:tcPr>
          <w:p w14:paraId="529954EC" w14:textId="77777777" w:rsidR="00AC329A" w:rsidRPr="00FA5649" w:rsidRDefault="008E08C7" w:rsidP="00FC1F1D">
            <w:pPr>
              <w:spacing w:after="120" w:line="276" w:lineRule="auto"/>
              <w:ind w:right="10"/>
              <w:jc w:val="center"/>
              <w:rPr>
                <w:rFonts w:ascii="Arial" w:eastAsia="Arial" w:hAnsi="Arial" w:cs="Arial"/>
                <w:b/>
                <w:sz w:val="20"/>
                <w:szCs w:val="20"/>
              </w:rPr>
            </w:pPr>
            <w:r w:rsidRPr="00FA5649">
              <w:rPr>
                <w:rFonts w:ascii="Arial" w:eastAsia="Arial" w:hAnsi="Arial" w:cs="Arial"/>
                <w:b/>
                <w:sz w:val="20"/>
                <w:szCs w:val="20"/>
              </w:rPr>
              <w:t>International Journal of Advancement in Life Sciences Research</w:t>
            </w:r>
          </w:p>
          <w:p w14:paraId="5F5BD51F" w14:textId="77777777" w:rsidR="00AC329A" w:rsidRPr="00FA5649" w:rsidRDefault="008E08C7" w:rsidP="00FC1F1D">
            <w:pPr>
              <w:spacing w:after="120" w:line="276" w:lineRule="auto"/>
              <w:ind w:right="10"/>
              <w:jc w:val="center"/>
              <w:rPr>
                <w:rFonts w:ascii="Arial" w:eastAsia="Arial" w:hAnsi="Arial" w:cs="Arial"/>
                <w:sz w:val="20"/>
                <w:szCs w:val="20"/>
              </w:rPr>
            </w:pPr>
            <w:r w:rsidRPr="00FA5649">
              <w:rPr>
                <w:rFonts w:ascii="Arial" w:eastAsia="Arial" w:hAnsi="Arial" w:cs="Arial"/>
                <w:sz w:val="20"/>
                <w:szCs w:val="20"/>
              </w:rPr>
              <w:t>Online ISSN: 2581-4877</w:t>
            </w:r>
          </w:p>
          <w:p w14:paraId="610BFBF9" w14:textId="77777777" w:rsidR="00AC329A" w:rsidRPr="00FA5649" w:rsidRDefault="00ED5819" w:rsidP="00FC1F1D">
            <w:pPr>
              <w:spacing w:line="276" w:lineRule="auto"/>
              <w:ind w:right="10"/>
              <w:jc w:val="center"/>
              <w:rPr>
                <w:rFonts w:ascii="Arial" w:eastAsia="Arial" w:hAnsi="Arial" w:cs="Arial"/>
                <w:b/>
                <w:i/>
                <w:sz w:val="20"/>
                <w:szCs w:val="20"/>
              </w:rPr>
            </w:pPr>
            <w:r w:rsidRPr="00FA5649">
              <w:rPr>
                <w:rFonts w:ascii="Arial" w:eastAsia="Arial" w:hAnsi="Arial" w:cs="Arial"/>
                <w:i/>
                <w:sz w:val="20"/>
                <w:szCs w:val="20"/>
              </w:rPr>
              <w:t>J</w:t>
            </w:r>
            <w:r w:rsidR="008E08C7" w:rsidRPr="00FA5649">
              <w:rPr>
                <w:rFonts w:ascii="Arial" w:eastAsia="Arial" w:hAnsi="Arial" w:cs="Arial"/>
                <w:i/>
                <w:sz w:val="20"/>
                <w:szCs w:val="20"/>
              </w:rPr>
              <w:t xml:space="preserve">ournal homepage </w:t>
            </w:r>
            <w:r w:rsidR="008E08C7" w:rsidRPr="00FA5649">
              <w:rPr>
                <w:rFonts w:ascii="Arial" w:eastAsia="Arial" w:hAnsi="Arial" w:cs="Arial"/>
                <w:sz w:val="20"/>
                <w:szCs w:val="20"/>
              </w:rPr>
              <w:t>http://ijalsr.org</w:t>
            </w:r>
          </w:p>
        </w:tc>
        <w:tc>
          <w:tcPr>
            <w:tcW w:w="1087" w:type="dxa"/>
            <w:vAlign w:val="bottom"/>
          </w:tcPr>
          <w:p w14:paraId="23CE6703" w14:textId="77777777" w:rsidR="00AC329A" w:rsidRPr="00FA5649" w:rsidRDefault="008E08C7" w:rsidP="00FC1F1D">
            <w:pPr>
              <w:spacing w:line="276" w:lineRule="auto"/>
              <w:ind w:right="10"/>
              <w:jc w:val="center"/>
              <w:rPr>
                <w:rFonts w:ascii="Arial" w:eastAsia="Arial" w:hAnsi="Arial" w:cs="Arial"/>
                <w:b/>
                <w:sz w:val="20"/>
                <w:szCs w:val="20"/>
              </w:rPr>
            </w:pPr>
            <w:r w:rsidRPr="00FA5649">
              <w:rPr>
                <w:rFonts w:ascii="Arial" w:eastAsia="Arial" w:hAnsi="Arial" w:cs="Arial"/>
                <w:b/>
                <w:noProof/>
                <w:sz w:val="20"/>
                <w:szCs w:val="20"/>
                <w:lang w:val="en-US" w:eastAsia="en-US"/>
              </w:rPr>
              <w:drawing>
                <wp:inline distT="0" distB="0" distL="0" distR="0" wp14:anchorId="456C7FE1" wp14:editId="6AC1E977">
                  <wp:extent cx="538535" cy="762073"/>
                  <wp:effectExtent l="0" t="0" r="0" b="0"/>
                  <wp:docPr id="29" name="image4.jpg"/>
                  <wp:cNvGraphicFramePr/>
                  <a:graphic xmlns:a="http://schemas.openxmlformats.org/drawingml/2006/main">
                    <a:graphicData uri="http://schemas.openxmlformats.org/drawingml/2006/picture">
                      <pic:pic xmlns:pic="http://schemas.openxmlformats.org/drawingml/2006/picture">
                        <pic:nvPicPr>
                          <pic:cNvPr id="29" name="image4.jpg"/>
                          <pic:cNvPicPr preferRelativeResize="0"/>
                        </pic:nvPicPr>
                        <pic:blipFill>
                          <a:blip r:embed="rId10" cstate="print">
                            <a:extLst>
                              <a:ext uri="{28A0092B-C50C-407E-A947-70E740481C1C}">
                                <a14:useLocalDpi xmlns:a14="http://schemas.microsoft.com/office/drawing/2010/main" val="0"/>
                              </a:ext>
                            </a:extLst>
                          </a:blip>
                          <a:stretch>
                            <a:fillRect/>
                          </a:stretch>
                        </pic:blipFill>
                        <pic:spPr>
                          <a:xfrm>
                            <a:off x="0" y="0"/>
                            <a:ext cx="538535" cy="762073"/>
                          </a:xfrm>
                          <a:prstGeom prst="rect">
                            <a:avLst/>
                          </a:prstGeom>
                          <a:ln/>
                        </pic:spPr>
                      </pic:pic>
                    </a:graphicData>
                  </a:graphic>
                </wp:inline>
              </w:drawing>
            </w:r>
          </w:p>
        </w:tc>
      </w:tr>
    </w:tbl>
    <w:p w14:paraId="3ACF778A" w14:textId="558D6395" w:rsidR="00AC329A" w:rsidRPr="00FA5649" w:rsidRDefault="00AE2A46" w:rsidP="00FC1F1D">
      <w:pPr>
        <w:spacing w:before="120" w:after="120" w:line="276" w:lineRule="auto"/>
        <w:ind w:right="10"/>
        <w:jc w:val="right"/>
        <w:rPr>
          <w:rFonts w:ascii="Arial" w:eastAsia="Arial" w:hAnsi="Arial" w:cs="Arial"/>
          <w:sz w:val="22"/>
          <w:szCs w:val="22"/>
        </w:rPr>
      </w:pPr>
      <w:r>
        <w:rPr>
          <w:rFonts w:ascii="Arial" w:eastAsia="Arial" w:hAnsi="Arial" w:cs="Arial"/>
          <w:sz w:val="22"/>
          <w:szCs w:val="22"/>
        </w:rPr>
        <w:t>Original</w:t>
      </w:r>
      <w:r w:rsidR="008E08C7" w:rsidRPr="00FA5649">
        <w:rPr>
          <w:rFonts w:ascii="Arial" w:eastAsia="Arial" w:hAnsi="Arial" w:cs="Arial"/>
          <w:sz w:val="22"/>
          <w:szCs w:val="22"/>
        </w:rPr>
        <w:t xml:space="preserve"> Article</w:t>
      </w:r>
    </w:p>
    <w:p w14:paraId="4B5724BC" w14:textId="3596A079" w:rsidR="00AE2A46" w:rsidRDefault="00AE2A46" w:rsidP="007B734B">
      <w:pPr>
        <w:jc w:val="both"/>
        <w:rPr>
          <w:rFonts w:ascii="Arial" w:hAnsi="Arial" w:cs="Arial"/>
          <w:b/>
          <w:bCs/>
          <w:i/>
          <w:iCs/>
          <w:sz w:val="28"/>
          <w:szCs w:val="28"/>
        </w:rPr>
      </w:pPr>
      <w:r w:rsidRPr="003A1C10">
        <w:rPr>
          <w:rFonts w:ascii="Arial" w:hAnsi="Arial" w:cs="Arial"/>
          <w:b/>
          <w:bCs/>
          <w:sz w:val="28"/>
          <w:szCs w:val="28"/>
        </w:rPr>
        <w:t xml:space="preserve">Formulation and Evaluation of Anti-Acne Moisturizer Containing Rosehip Oil and </w:t>
      </w:r>
      <w:r w:rsidRPr="003A1C10">
        <w:rPr>
          <w:rFonts w:ascii="Arial" w:hAnsi="Arial" w:cs="Arial"/>
          <w:b/>
          <w:bCs/>
          <w:i/>
          <w:iCs/>
          <w:sz w:val="28"/>
          <w:szCs w:val="28"/>
        </w:rPr>
        <w:t>Persea Grastissma</w:t>
      </w:r>
      <w:r w:rsidRPr="003A1C10">
        <w:rPr>
          <w:rFonts w:ascii="Arial" w:hAnsi="Arial" w:cs="Arial"/>
          <w:b/>
          <w:bCs/>
          <w:sz w:val="28"/>
          <w:szCs w:val="28"/>
        </w:rPr>
        <w:t xml:space="preserve"> Oil Against </w:t>
      </w:r>
      <w:r w:rsidRPr="003A1C10">
        <w:rPr>
          <w:rFonts w:ascii="Arial" w:hAnsi="Arial" w:cs="Arial"/>
          <w:b/>
          <w:bCs/>
          <w:i/>
          <w:iCs/>
          <w:sz w:val="28"/>
          <w:szCs w:val="28"/>
        </w:rPr>
        <w:t xml:space="preserve">Staphylococcus </w:t>
      </w:r>
      <w:r w:rsidR="002D560F" w:rsidRPr="003A1C10">
        <w:rPr>
          <w:rFonts w:ascii="Arial" w:hAnsi="Arial" w:cs="Arial"/>
          <w:b/>
          <w:bCs/>
          <w:i/>
          <w:iCs/>
          <w:sz w:val="28"/>
          <w:szCs w:val="28"/>
        </w:rPr>
        <w:t>e</w:t>
      </w:r>
      <w:r w:rsidRPr="003A1C10">
        <w:rPr>
          <w:rFonts w:ascii="Arial" w:hAnsi="Arial" w:cs="Arial"/>
          <w:b/>
          <w:bCs/>
          <w:i/>
          <w:iCs/>
          <w:sz w:val="28"/>
          <w:szCs w:val="28"/>
        </w:rPr>
        <w:t>pidermidis</w:t>
      </w:r>
    </w:p>
    <w:p w14:paraId="1EFE4726" w14:textId="77777777" w:rsidR="007B734B" w:rsidRDefault="007B734B" w:rsidP="007B734B">
      <w:pPr>
        <w:jc w:val="both"/>
        <w:rPr>
          <w:rFonts w:ascii="Arial" w:hAnsi="Arial" w:cs="Arial"/>
          <w:b/>
          <w:bCs/>
          <w:sz w:val="28"/>
          <w:szCs w:val="28"/>
        </w:rPr>
      </w:pPr>
    </w:p>
    <w:p w14:paraId="4BCFE935" w14:textId="4717A699" w:rsidR="007B734B" w:rsidRPr="007B734B" w:rsidRDefault="007B734B" w:rsidP="007B734B">
      <w:pPr>
        <w:jc w:val="both"/>
        <w:rPr>
          <w:rFonts w:ascii="Arial" w:hAnsi="Arial" w:cs="Arial"/>
          <w:b/>
          <w:bCs/>
        </w:rPr>
      </w:pPr>
      <w:r w:rsidRPr="007B734B">
        <w:rPr>
          <w:rFonts w:ascii="Arial" w:hAnsi="Arial" w:cs="Arial"/>
          <w:b/>
          <w:bCs/>
        </w:rPr>
        <w:t>Nur Aliyya Syakirin Binti Shaharuddin</w:t>
      </w:r>
      <w:r w:rsidRPr="007B734B">
        <w:rPr>
          <w:rFonts w:ascii="Arial" w:hAnsi="Arial" w:cs="Arial"/>
          <w:b/>
          <w:bCs/>
          <w:vertAlign w:val="superscript"/>
        </w:rPr>
        <w:t>1</w:t>
      </w:r>
      <w:r w:rsidRPr="007B734B">
        <w:rPr>
          <w:rFonts w:ascii="Arial" w:hAnsi="Arial" w:cs="Arial"/>
          <w:b/>
          <w:bCs/>
        </w:rPr>
        <w:t>, Tavamani Balan</w:t>
      </w:r>
      <w:r w:rsidRPr="007B734B">
        <w:rPr>
          <w:rFonts w:ascii="Arial" w:hAnsi="Arial" w:cs="Arial"/>
          <w:b/>
          <w:bCs/>
          <w:vertAlign w:val="superscript"/>
        </w:rPr>
        <w:t>1</w:t>
      </w:r>
      <w:r w:rsidRPr="007B734B">
        <w:rPr>
          <w:rFonts w:ascii="Arial" w:hAnsi="Arial" w:cs="Arial"/>
          <w:b/>
          <w:bCs/>
        </w:rPr>
        <w:t>, Sharon Fatinathan</w:t>
      </w:r>
      <w:r w:rsidRPr="007B734B">
        <w:rPr>
          <w:rFonts w:ascii="Arial" w:hAnsi="Arial" w:cs="Arial"/>
          <w:b/>
          <w:bCs/>
          <w:vertAlign w:val="superscript"/>
        </w:rPr>
        <w:t>1</w:t>
      </w:r>
      <w:r w:rsidRPr="007B734B">
        <w:rPr>
          <w:rFonts w:ascii="Arial" w:hAnsi="Arial" w:cs="Arial"/>
          <w:b/>
          <w:bCs/>
        </w:rPr>
        <w:t>, Puvana Devi Selvarajoo</w:t>
      </w:r>
      <w:r w:rsidRPr="007B734B">
        <w:rPr>
          <w:rFonts w:ascii="Arial" w:hAnsi="Arial" w:cs="Arial"/>
          <w:b/>
          <w:bCs/>
          <w:vertAlign w:val="superscript"/>
        </w:rPr>
        <w:t>1</w:t>
      </w:r>
      <w:r w:rsidRPr="007B734B">
        <w:rPr>
          <w:rFonts w:ascii="Arial" w:hAnsi="Arial" w:cs="Arial"/>
          <w:b/>
          <w:bCs/>
        </w:rPr>
        <w:t>, Vikneswari Perumal</w:t>
      </w:r>
      <w:r>
        <w:rPr>
          <w:rFonts w:ascii="Arial" w:hAnsi="Arial" w:cs="Arial"/>
          <w:b/>
          <w:bCs/>
          <w:vertAlign w:val="superscript"/>
        </w:rPr>
        <w:t>2*</w:t>
      </w:r>
    </w:p>
    <w:p w14:paraId="4012EA10" w14:textId="77777777" w:rsidR="007B734B" w:rsidRDefault="007B734B" w:rsidP="00AE2A46">
      <w:pPr>
        <w:spacing w:after="120"/>
        <w:jc w:val="both"/>
        <w:rPr>
          <w:rFonts w:ascii="Arial" w:hAnsi="Arial" w:cs="Arial"/>
          <w:i/>
          <w:iCs/>
          <w:sz w:val="18"/>
          <w:szCs w:val="18"/>
        </w:rPr>
      </w:pPr>
    </w:p>
    <w:p w14:paraId="6A972E78" w14:textId="021DB997" w:rsidR="00AE2A46" w:rsidRDefault="007B734B" w:rsidP="00AE2A46">
      <w:pPr>
        <w:spacing w:after="120"/>
        <w:jc w:val="both"/>
        <w:rPr>
          <w:rFonts w:ascii="Arial" w:hAnsi="Arial" w:cs="Arial"/>
          <w:i/>
          <w:iCs/>
          <w:sz w:val="18"/>
          <w:szCs w:val="18"/>
        </w:rPr>
      </w:pPr>
      <w:r w:rsidRPr="007B734B">
        <w:rPr>
          <w:rFonts w:ascii="Arial" w:hAnsi="Arial" w:cs="Arial"/>
          <w:i/>
          <w:iCs/>
          <w:sz w:val="18"/>
          <w:szCs w:val="18"/>
          <w:vertAlign w:val="superscript"/>
        </w:rPr>
        <w:t>1</w:t>
      </w:r>
      <w:r w:rsidR="00AE2A46" w:rsidRPr="003A1C10">
        <w:rPr>
          <w:rFonts w:ascii="Arial" w:hAnsi="Arial" w:cs="Arial"/>
          <w:i/>
          <w:iCs/>
          <w:sz w:val="18"/>
          <w:szCs w:val="18"/>
        </w:rPr>
        <w:t>Faculty of Pharmacy and Health Sciences, Royal College of Medicine Perak, Universiti Kuala Lumpur, 30450 Ipoh, Perak, Malaysia</w:t>
      </w:r>
    </w:p>
    <w:p w14:paraId="1DEA7388" w14:textId="49658163" w:rsidR="007B734B" w:rsidRDefault="007B734B" w:rsidP="007B734B">
      <w:pPr>
        <w:jc w:val="both"/>
        <w:rPr>
          <w:rFonts w:ascii="Arial" w:hAnsi="Arial" w:cs="Arial"/>
          <w:i/>
          <w:iCs/>
          <w:sz w:val="18"/>
          <w:szCs w:val="18"/>
        </w:rPr>
      </w:pPr>
      <w:r w:rsidRPr="007B734B">
        <w:rPr>
          <w:rFonts w:ascii="Arial" w:hAnsi="Arial" w:cs="Arial"/>
          <w:i/>
          <w:iCs/>
          <w:sz w:val="18"/>
          <w:szCs w:val="18"/>
          <w:vertAlign w:val="superscript"/>
        </w:rPr>
        <w:t>2</w:t>
      </w:r>
      <w:r w:rsidRPr="007B734B">
        <w:rPr>
          <w:rFonts w:ascii="Arial" w:hAnsi="Arial" w:cs="Arial"/>
          <w:i/>
          <w:iCs/>
          <w:sz w:val="18"/>
          <w:szCs w:val="18"/>
        </w:rPr>
        <w:t>School of Pharmacy, Management and Science University (MSU), Persiaran Olahraga, Section 13, 40000 Shah Alam, Selangor Darul Ehsan, Malaysia</w:t>
      </w:r>
    </w:p>
    <w:p w14:paraId="1032237F" w14:textId="77777777" w:rsidR="007B734B" w:rsidRPr="003A1C10" w:rsidRDefault="007B734B" w:rsidP="007B734B">
      <w:pPr>
        <w:jc w:val="both"/>
        <w:rPr>
          <w:rFonts w:ascii="Arial" w:hAnsi="Arial" w:cs="Arial"/>
          <w:i/>
          <w:iCs/>
          <w:sz w:val="18"/>
          <w:szCs w:val="18"/>
        </w:rPr>
      </w:pPr>
    </w:p>
    <w:p w14:paraId="44DE9C84" w14:textId="7870F2C3" w:rsidR="00AE2A46" w:rsidRDefault="00AE2A46" w:rsidP="007B734B">
      <w:pPr>
        <w:jc w:val="both"/>
        <w:rPr>
          <w:rFonts w:ascii="Arial" w:hAnsi="Arial" w:cs="Arial"/>
          <w:i/>
          <w:iCs/>
          <w:sz w:val="20"/>
          <w:szCs w:val="20"/>
        </w:rPr>
      </w:pPr>
      <w:r w:rsidRPr="00801C6D">
        <w:rPr>
          <w:rFonts w:ascii="Arial" w:hAnsi="Arial" w:cs="Arial"/>
          <w:i/>
          <w:iCs/>
          <w:sz w:val="20"/>
          <w:szCs w:val="20"/>
        </w:rPr>
        <w:t xml:space="preserve">*Corresponding Author’s Email: </w:t>
      </w:r>
      <w:hyperlink r:id="rId11" w:history="1">
        <w:r w:rsidR="007B734B" w:rsidRPr="00E05340">
          <w:rPr>
            <w:rStyle w:val="Hyperlink"/>
            <w:rFonts w:ascii="Arial" w:hAnsi="Arial" w:cs="Arial"/>
            <w:i/>
            <w:iCs/>
            <w:sz w:val="20"/>
            <w:szCs w:val="20"/>
          </w:rPr>
          <w:t>vikneswari_perumal@msu.edu.my</w:t>
        </w:r>
      </w:hyperlink>
      <w:r w:rsidR="007B734B">
        <w:rPr>
          <w:rFonts w:ascii="Arial" w:hAnsi="Arial" w:cs="Arial"/>
          <w:i/>
          <w:iCs/>
          <w:sz w:val="20"/>
          <w:szCs w:val="20"/>
        </w:rPr>
        <w:t xml:space="preserve"> </w:t>
      </w:r>
    </w:p>
    <w:p w14:paraId="6A8DABDC" w14:textId="77777777" w:rsidR="007B734B" w:rsidRPr="00801C6D" w:rsidRDefault="007B734B" w:rsidP="007B734B">
      <w:pPr>
        <w:jc w:val="both"/>
        <w:rPr>
          <w:rFonts w:ascii="Arial" w:hAnsi="Arial" w:cs="Arial"/>
          <w:i/>
          <w:iCs/>
          <w:sz w:val="20"/>
          <w:szCs w:val="20"/>
        </w:rPr>
      </w:pPr>
    </w:p>
    <w:p w14:paraId="2B275583" w14:textId="77777777" w:rsidR="00AE2A46" w:rsidRPr="00DE4084" w:rsidRDefault="00AE2A46" w:rsidP="00AE2A46">
      <w:pPr>
        <w:spacing w:after="120"/>
        <w:jc w:val="both"/>
        <w:rPr>
          <w:rFonts w:ascii="Arial" w:hAnsi="Arial" w:cs="Arial"/>
          <w:b/>
          <w:bCs/>
          <w:sz w:val="20"/>
          <w:szCs w:val="20"/>
        </w:rPr>
      </w:pPr>
      <w:r w:rsidRPr="00DE4084">
        <w:rPr>
          <w:rFonts w:ascii="Arial" w:hAnsi="Arial" w:cs="Arial"/>
          <w:b/>
          <w:bCs/>
          <w:sz w:val="20"/>
          <w:szCs w:val="20"/>
        </w:rPr>
        <w:t>Abstract</w:t>
      </w:r>
    </w:p>
    <w:p w14:paraId="1F08491A" w14:textId="77777777" w:rsidR="00AE2A46" w:rsidRDefault="00AE2A46" w:rsidP="007B734B">
      <w:pPr>
        <w:jc w:val="both"/>
        <w:rPr>
          <w:rFonts w:ascii="Arial" w:hAnsi="Arial" w:cs="Arial"/>
          <w:sz w:val="20"/>
          <w:szCs w:val="20"/>
        </w:rPr>
      </w:pPr>
      <w:r w:rsidRPr="00801C6D">
        <w:rPr>
          <w:rFonts w:ascii="Arial" w:hAnsi="Arial" w:cs="Arial"/>
          <w:b/>
          <w:bCs/>
          <w:sz w:val="20"/>
          <w:szCs w:val="20"/>
        </w:rPr>
        <w:t>Introduction:</w:t>
      </w:r>
      <w:r w:rsidRPr="00801C6D">
        <w:rPr>
          <w:rFonts w:ascii="Arial" w:hAnsi="Arial" w:cs="Arial"/>
          <w:sz w:val="20"/>
          <w:szCs w:val="20"/>
        </w:rPr>
        <w:t xml:space="preserve"> Avocado and rosehip oils are examples of oils that can help treat various skin conditions. On the other hand, avocado and rosehip oils are not usually found in the compositions of facial moisturizers. It is frequently used in the formulation process of skin serums. Avocado and rosehip oil possess various beneficial properties, including the treatment of wounds and skin inflammation, reduction of scars, minimization of wrinkles, and treatment of acne. This study aimed to develop and characterize a moisturizing cream formulation utilizing rosehip oil and avocado oil, and to investigate the anti-acne effect of the formulated moisturizer against </w:t>
      </w:r>
      <w:r w:rsidRPr="00F131FF">
        <w:rPr>
          <w:rFonts w:ascii="Arial" w:hAnsi="Arial" w:cs="Arial"/>
          <w:i/>
          <w:iCs/>
          <w:sz w:val="20"/>
          <w:szCs w:val="20"/>
        </w:rPr>
        <w:t>Staphylococcus epidermidis</w:t>
      </w:r>
      <w:r w:rsidRPr="00801C6D">
        <w:rPr>
          <w:rFonts w:ascii="Arial" w:hAnsi="Arial" w:cs="Arial"/>
          <w:sz w:val="20"/>
          <w:szCs w:val="20"/>
        </w:rPr>
        <w:t xml:space="preserve">. </w:t>
      </w:r>
      <w:r w:rsidRPr="00801C6D">
        <w:rPr>
          <w:rFonts w:ascii="Arial" w:hAnsi="Arial" w:cs="Arial"/>
          <w:b/>
          <w:bCs/>
          <w:sz w:val="20"/>
          <w:szCs w:val="20"/>
        </w:rPr>
        <w:t>Methods:</w:t>
      </w:r>
      <w:r w:rsidRPr="00801C6D">
        <w:rPr>
          <w:rFonts w:ascii="Arial" w:hAnsi="Arial" w:cs="Arial"/>
          <w:sz w:val="20"/>
          <w:szCs w:val="20"/>
        </w:rPr>
        <w:t xml:space="preserve"> An anti-acne moisturizing cream was formulated using rosehip and avocado oil. The physicochemical properties and the stability of the cream were evaluated. The anti-acne activity of the cream was analyzed using the well diffusion method. </w:t>
      </w:r>
      <w:r w:rsidRPr="00801C6D">
        <w:rPr>
          <w:rFonts w:ascii="Arial" w:hAnsi="Arial" w:cs="Arial"/>
          <w:b/>
          <w:bCs/>
          <w:sz w:val="20"/>
          <w:szCs w:val="20"/>
        </w:rPr>
        <w:t>Results</w:t>
      </w:r>
      <w:r w:rsidRPr="00801C6D">
        <w:rPr>
          <w:rFonts w:ascii="Arial" w:hAnsi="Arial" w:cs="Arial"/>
          <w:sz w:val="20"/>
          <w:szCs w:val="20"/>
        </w:rPr>
        <w:t xml:space="preserve">: The formulations exhibited good physical properties and stability. Although a stable moisturizing cream was formulated, it lacks antibacterial activity against </w:t>
      </w:r>
      <w:r w:rsidRPr="00F131FF">
        <w:rPr>
          <w:rFonts w:ascii="Arial" w:hAnsi="Arial" w:cs="Arial"/>
          <w:i/>
          <w:iCs/>
          <w:sz w:val="20"/>
          <w:szCs w:val="20"/>
        </w:rPr>
        <w:t>S. epidermidis</w:t>
      </w:r>
      <w:r w:rsidRPr="00801C6D">
        <w:rPr>
          <w:rFonts w:ascii="Arial" w:hAnsi="Arial" w:cs="Arial"/>
          <w:sz w:val="20"/>
          <w:szCs w:val="20"/>
        </w:rPr>
        <w:t xml:space="preserve">. </w:t>
      </w:r>
      <w:r w:rsidRPr="00801C6D">
        <w:rPr>
          <w:rFonts w:ascii="Arial" w:hAnsi="Arial" w:cs="Arial"/>
          <w:b/>
          <w:bCs/>
          <w:sz w:val="20"/>
          <w:szCs w:val="20"/>
        </w:rPr>
        <w:t>Conclusion</w:t>
      </w:r>
      <w:r w:rsidRPr="00801C6D">
        <w:rPr>
          <w:rFonts w:ascii="Arial" w:hAnsi="Arial" w:cs="Arial"/>
          <w:sz w:val="20"/>
          <w:szCs w:val="20"/>
        </w:rPr>
        <w:t xml:space="preserve">: In conclusion, integrating rosehip and avocado oils into formulations holds potential for addressing acne, attributed to their antibacterial properties. The absence of antibacterial efficacy against </w:t>
      </w:r>
      <w:r w:rsidRPr="00F131FF">
        <w:rPr>
          <w:rFonts w:ascii="Arial" w:hAnsi="Arial" w:cs="Arial"/>
          <w:i/>
          <w:iCs/>
          <w:sz w:val="20"/>
          <w:szCs w:val="20"/>
        </w:rPr>
        <w:t>S. epidermidis</w:t>
      </w:r>
      <w:r w:rsidRPr="00801C6D">
        <w:rPr>
          <w:rFonts w:ascii="Arial" w:hAnsi="Arial" w:cs="Arial"/>
          <w:sz w:val="20"/>
          <w:szCs w:val="20"/>
        </w:rPr>
        <w:t xml:space="preserve"> in the current formulation could be attributed to inadequate bioactive constituents. Therefore, further exploration of the optimal ratio and concentration of rosehip and avocado oil is necessary to maximize their therapeutic benefits in anti-acne formulations.</w:t>
      </w:r>
    </w:p>
    <w:p w14:paraId="63346034" w14:textId="77777777" w:rsidR="007B734B" w:rsidRPr="00801C6D" w:rsidRDefault="007B734B" w:rsidP="007B734B">
      <w:pPr>
        <w:jc w:val="both"/>
        <w:rPr>
          <w:rFonts w:ascii="Arial" w:hAnsi="Arial" w:cs="Arial"/>
          <w:sz w:val="20"/>
          <w:szCs w:val="20"/>
        </w:rPr>
      </w:pPr>
    </w:p>
    <w:p w14:paraId="2CF12ADB" w14:textId="77777777" w:rsidR="00AE2A46" w:rsidRDefault="00AE2A46" w:rsidP="007B734B">
      <w:pPr>
        <w:jc w:val="both"/>
        <w:rPr>
          <w:rFonts w:ascii="Arial" w:hAnsi="Arial" w:cs="Arial"/>
          <w:i/>
          <w:iCs/>
          <w:sz w:val="20"/>
          <w:szCs w:val="20"/>
        </w:rPr>
      </w:pPr>
      <w:r w:rsidRPr="00801C6D">
        <w:rPr>
          <w:rFonts w:ascii="Arial" w:hAnsi="Arial" w:cs="Arial"/>
          <w:b/>
          <w:bCs/>
          <w:i/>
          <w:iCs/>
          <w:sz w:val="20"/>
          <w:szCs w:val="20"/>
        </w:rPr>
        <w:t>Keywords:</w:t>
      </w:r>
      <w:r w:rsidRPr="00801C6D">
        <w:rPr>
          <w:rFonts w:ascii="Arial" w:hAnsi="Arial" w:cs="Arial"/>
          <w:i/>
          <w:iCs/>
          <w:sz w:val="20"/>
          <w:szCs w:val="20"/>
        </w:rPr>
        <w:t xml:space="preserve"> Anti-Acne</w:t>
      </w:r>
      <w:r>
        <w:rPr>
          <w:rFonts w:ascii="Arial" w:hAnsi="Arial" w:cs="Arial"/>
          <w:i/>
          <w:iCs/>
          <w:sz w:val="20"/>
          <w:szCs w:val="20"/>
        </w:rPr>
        <w:t xml:space="preserve">; </w:t>
      </w:r>
      <w:r w:rsidRPr="00801C6D">
        <w:rPr>
          <w:rFonts w:ascii="Arial" w:hAnsi="Arial" w:cs="Arial"/>
          <w:i/>
          <w:iCs/>
          <w:sz w:val="20"/>
          <w:szCs w:val="20"/>
        </w:rPr>
        <w:t>Avocado Oil</w:t>
      </w:r>
      <w:r>
        <w:rPr>
          <w:rFonts w:ascii="Arial" w:hAnsi="Arial" w:cs="Arial"/>
          <w:i/>
          <w:iCs/>
          <w:sz w:val="20"/>
          <w:szCs w:val="20"/>
        </w:rPr>
        <w:t xml:space="preserve">; </w:t>
      </w:r>
      <w:r w:rsidRPr="00801C6D">
        <w:rPr>
          <w:rFonts w:ascii="Arial" w:hAnsi="Arial" w:cs="Arial"/>
          <w:i/>
          <w:iCs/>
          <w:sz w:val="20"/>
          <w:szCs w:val="20"/>
        </w:rPr>
        <w:t>Rosehip Oil</w:t>
      </w:r>
      <w:r>
        <w:rPr>
          <w:rFonts w:ascii="Arial" w:hAnsi="Arial" w:cs="Arial"/>
          <w:i/>
          <w:iCs/>
          <w:sz w:val="20"/>
          <w:szCs w:val="20"/>
        </w:rPr>
        <w:t xml:space="preserve">; </w:t>
      </w:r>
      <w:r w:rsidRPr="00801C6D">
        <w:rPr>
          <w:rFonts w:ascii="Arial" w:hAnsi="Arial" w:cs="Arial"/>
          <w:i/>
          <w:iCs/>
          <w:sz w:val="20"/>
          <w:szCs w:val="20"/>
        </w:rPr>
        <w:t>S. Epidermidis</w:t>
      </w:r>
    </w:p>
    <w:p w14:paraId="33726F6A" w14:textId="77777777" w:rsidR="007B734B" w:rsidRDefault="007B734B" w:rsidP="007B734B">
      <w:pPr>
        <w:jc w:val="both"/>
        <w:rPr>
          <w:rFonts w:ascii="Arial" w:hAnsi="Arial" w:cs="Arial"/>
          <w:i/>
          <w:iCs/>
          <w:sz w:val="20"/>
          <w:szCs w:val="20"/>
        </w:rPr>
      </w:pPr>
    </w:p>
    <w:p w14:paraId="58BD9D73" w14:textId="77777777" w:rsidR="00AE2A46" w:rsidRPr="00801C6D" w:rsidRDefault="00AE2A46" w:rsidP="00AE2A46">
      <w:pPr>
        <w:spacing w:after="120" w:line="276" w:lineRule="auto"/>
        <w:jc w:val="both"/>
        <w:rPr>
          <w:rFonts w:ascii="Arial" w:hAnsi="Arial" w:cs="Arial"/>
          <w:b/>
          <w:bCs/>
          <w:sz w:val="20"/>
          <w:szCs w:val="20"/>
        </w:rPr>
      </w:pPr>
      <w:r w:rsidRPr="00801C6D">
        <w:rPr>
          <w:rFonts w:ascii="Arial" w:hAnsi="Arial" w:cs="Arial"/>
          <w:b/>
          <w:bCs/>
          <w:sz w:val="20"/>
          <w:szCs w:val="20"/>
        </w:rPr>
        <w:t>Introduction</w:t>
      </w:r>
    </w:p>
    <w:p w14:paraId="7D4E256E" w14:textId="77777777" w:rsidR="00AE2A46" w:rsidRPr="00C83771" w:rsidRDefault="00AE2A46" w:rsidP="00AE2A46">
      <w:pPr>
        <w:spacing w:after="120" w:line="276" w:lineRule="auto"/>
        <w:jc w:val="both"/>
        <w:rPr>
          <w:rFonts w:ascii="Arial" w:hAnsi="Arial" w:cs="Arial"/>
          <w:sz w:val="20"/>
          <w:szCs w:val="20"/>
        </w:rPr>
      </w:pPr>
      <w:r w:rsidRPr="00801C6D">
        <w:rPr>
          <w:rFonts w:ascii="Arial" w:hAnsi="Arial" w:cs="Arial"/>
          <w:sz w:val="20"/>
          <w:szCs w:val="20"/>
        </w:rPr>
        <w:t xml:space="preserve">Acne vulgaris (AV) is a common, chronic form of acne that affects the skin and is characterized by blocked, </w:t>
      </w:r>
      <w:r w:rsidRPr="00C83771">
        <w:rPr>
          <w:rFonts w:ascii="Arial" w:hAnsi="Arial" w:cs="Arial"/>
          <w:sz w:val="20"/>
          <w:szCs w:val="20"/>
        </w:rPr>
        <w:t xml:space="preserve">inflamed, or both pilosebaceous units. This condition can affect one or both sides of the face (Tan </w:t>
      </w:r>
      <w:r w:rsidRPr="00C83771">
        <w:rPr>
          <w:rFonts w:ascii="Arial" w:hAnsi="Arial" w:cs="Arial"/>
          <w:i/>
          <w:iCs/>
          <w:sz w:val="20"/>
          <w:szCs w:val="20"/>
        </w:rPr>
        <w:t>et al</w:t>
      </w:r>
      <w:r w:rsidRPr="00C83771">
        <w:rPr>
          <w:rFonts w:ascii="Arial" w:hAnsi="Arial" w:cs="Arial"/>
          <w:sz w:val="20"/>
          <w:szCs w:val="20"/>
        </w:rPr>
        <w:t xml:space="preserve">., 2018; Novaryatiin </w:t>
      </w:r>
      <w:r w:rsidRPr="00C83771">
        <w:rPr>
          <w:rFonts w:ascii="Arial" w:hAnsi="Arial" w:cs="Arial"/>
          <w:i/>
          <w:iCs/>
          <w:sz w:val="20"/>
          <w:szCs w:val="20"/>
        </w:rPr>
        <w:t>et al</w:t>
      </w:r>
      <w:r w:rsidRPr="00C83771">
        <w:rPr>
          <w:rFonts w:ascii="Arial" w:hAnsi="Arial" w:cs="Arial"/>
          <w:sz w:val="20"/>
          <w:szCs w:val="20"/>
        </w:rPr>
        <w:t xml:space="preserve">., 2024; Xu </w:t>
      </w:r>
      <w:r w:rsidRPr="00C83771">
        <w:rPr>
          <w:rFonts w:ascii="Arial" w:hAnsi="Arial" w:cs="Arial"/>
          <w:i/>
          <w:iCs/>
          <w:sz w:val="20"/>
          <w:szCs w:val="20"/>
        </w:rPr>
        <w:t>et al</w:t>
      </w:r>
      <w:r w:rsidRPr="00C83771">
        <w:rPr>
          <w:rFonts w:ascii="Arial" w:hAnsi="Arial" w:cs="Arial"/>
          <w:sz w:val="20"/>
          <w:szCs w:val="20"/>
        </w:rPr>
        <w:t xml:space="preserve">., 2025). Acne usually affects the face and can occur in either inflammatory or non-inflammatory lesions, or a combination of both. According to Hafeez </w:t>
      </w:r>
      <w:r w:rsidRPr="00C83771">
        <w:rPr>
          <w:rFonts w:ascii="Arial" w:hAnsi="Arial" w:cs="Arial"/>
          <w:i/>
          <w:iCs/>
          <w:sz w:val="20"/>
          <w:szCs w:val="20"/>
        </w:rPr>
        <w:t>et al</w:t>
      </w:r>
      <w:r w:rsidRPr="00C83771">
        <w:rPr>
          <w:rFonts w:ascii="Arial" w:hAnsi="Arial" w:cs="Arial"/>
          <w:sz w:val="20"/>
          <w:szCs w:val="20"/>
        </w:rPr>
        <w:t xml:space="preserve"> (2020), it is present in around 70% of teenagers and 10% of adults worldwide. Several pathological processes contribute to the development of acne, the most prominent of which include androgen-mediated stimulation of sebaceous gland activity, follicular hyperkeratinization, hormonal imbalance, inflammation, and external bacterial infection. </w:t>
      </w:r>
      <w:r w:rsidRPr="00DC1390">
        <w:rPr>
          <w:rFonts w:ascii="Arial" w:hAnsi="Arial" w:cs="Arial"/>
          <w:i/>
          <w:iCs/>
          <w:sz w:val="20"/>
          <w:szCs w:val="20"/>
        </w:rPr>
        <w:t>Staphylococcus epidermidis (S. epidermidis</w:t>
      </w:r>
      <w:r w:rsidRPr="00C83771">
        <w:rPr>
          <w:rFonts w:ascii="Arial" w:hAnsi="Arial" w:cs="Arial"/>
          <w:sz w:val="20"/>
          <w:szCs w:val="20"/>
        </w:rPr>
        <w:t xml:space="preserve">) and Propionibacterium acnes (P. acnes) are the bacteria that are commonly found on the skin most frequently, and both bacteria can cause acne (Vora </w:t>
      </w:r>
      <w:r w:rsidRPr="00C83771">
        <w:rPr>
          <w:rFonts w:ascii="Arial" w:hAnsi="Arial" w:cs="Arial"/>
          <w:i/>
          <w:iCs/>
          <w:sz w:val="20"/>
          <w:szCs w:val="20"/>
        </w:rPr>
        <w:t>et al</w:t>
      </w:r>
      <w:r w:rsidRPr="00C83771">
        <w:rPr>
          <w:rFonts w:ascii="Arial" w:hAnsi="Arial" w:cs="Arial"/>
          <w:sz w:val="20"/>
          <w:szCs w:val="20"/>
        </w:rPr>
        <w:t>., 2018). Although</w:t>
      </w:r>
      <w:r w:rsidRPr="00801C6D">
        <w:rPr>
          <w:rFonts w:ascii="Arial" w:hAnsi="Arial" w:cs="Arial"/>
          <w:sz w:val="20"/>
          <w:szCs w:val="20"/>
        </w:rPr>
        <w:t xml:space="preserve"> both organisms are implicated, </w:t>
      </w:r>
      <w:r w:rsidRPr="00DC1390">
        <w:rPr>
          <w:rFonts w:ascii="Arial" w:hAnsi="Arial" w:cs="Arial"/>
          <w:i/>
          <w:iCs/>
          <w:sz w:val="20"/>
          <w:szCs w:val="20"/>
        </w:rPr>
        <w:t>S. epidermidis</w:t>
      </w:r>
      <w:r w:rsidRPr="00801C6D">
        <w:rPr>
          <w:rFonts w:ascii="Arial" w:hAnsi="Arial" w:cs="Arial"/>
          <w:sz w:val="20"/>
          <w:szCs w:val="20"/>
        </w:rPr>
        <w:t xml:space="preserve"> was selected as the primary screening target in this study because it plays a dual and increasingly recognized role in acne-related dysbiosis. While naturally part of the normal skin </w:t>
      </w:r>
      <w:r w:rsidRPr="00801C6D">
        <w:rPr>
          <w:rFonts w:ascii="Arial" w:hAnsi="Arial" w:cs="Arial"/>
          <w:sz w:val="20"/>
          <w:szCs w:val="20"/>
        </w:rPr>
        <w:lastRenderedPageBreak/>
        <w:t xml:space="preserve">flora, </w:t>
      </w:r>
      <w:r w:rsidRPr="00DC1390">
        <w:rPr>
          <w:rFonts w:ascii="Arial" w:hAnsi="Arial" w:cs="Arial"/>
          <w:i/>
          <w:iCs/>
          <w:sz w:val="20"/>
          <w:szCs w:val="20"/>
        </w:rPr>
        <w:t>S. epidermidis</w:t>
      </w:r>
      <w:r w:rsidRPr="00801C6D">
        <w:rPr>
          <w:rFonts w:ascii="Arial" w:hAnsi="Arial" w:cs="Arial"/>
          <w:sz w:val="20"/>
          <w:szCs w:val="20"/>
        </w:rPr>
        <w:t xml:space="preserve"> can become opportunistic and proliferate excessively under conditions of a disrupted skin </w:t>
      </w:r>
      <w:r w:rsidRPr="002D560F">
        <w:rPr>
          <w:rFonts w:ascii="Arial" w:hAnsi="Arial" w:cs="Arial"/>
          <w:sz w:val="20"/>
          <w:szCs w:val="20"/>
        </w:rPr>
        <w:t xml:space="preserve">barrier (Hamann </w:t>
      </w:r>
      <w:r w:rsidRPr="002D560F">
        <w:rPr>
          <w:rFonts w:ascii="Arial" w:hAnsi="Arial" w:cs="Arial"/>
          <w:i/>
          <w:iCs/>
          <w:sz w:val="20"/>
          <w:szCs w:val="20"/>
        </w:rPr>
        <w:t>et al</w:t>
      </w:r>
      <w:r w:rsidRPr="002D560F">
        <w:rPr>
          <w:rFonts w:ascii="Arial" w:hAnsi="Arial" w:cs="Arial"/>
          <w:sz w:val="20"/>
          <w:szCs w:val="20"/>
        </w:rPr>
        <w:t>., 2025). Therefore</w:t>
      </w:r>
      <w:r w:rsidRPr="00801C6D">
        <w:rPr>
          <w:rFonts w:ascii="Arial" w:hAnsi="Arial" w:cs="Arial"/>
          <w:sz w:val="20"/>
          <w:szCs w:val="20"/>
        </w:rPr>
        <w:t xml:space="preserve">, </w:t>
      </w:r>
      <w:r w:rsidRPr="00C83771">
        <w:rPr>
          <w:rFonts w:ascii="Arial" w:hAnsi="Arial" w:cs="Arial"/>
          <w:sz w:val="20"/>
          <w:szCs w:val="20"/>
        </w:rPr>
        <w:t xml:space="preserve">focusing on </w:t>
      </w:r>
      <w:r w:rsidRPr="00DC1390">
        <w:rPr>
          <w:rFonts w:ascii="Arial" w:hAnsi="Arial" w:cs="Arial"/>
          <w:i/>
          <w:iCs/>
          <w:sz w:val="20"/>
          <w:szCs w:val="20"/>
        </w:rPr>
        <w:t>S. epidermidis</w:t>
      </w:r>
      <w:r w:rsidRPr="00C83771">
        <w:rPr>
          <w:rFonts w:ascii="Arial" w:hAnsi="Arial" w:cs="Arial"/>
          <w:sz w:val="20"/>
          <w:szCs w:val="20"/>
        </w:rPr>
        <w:t xml:space="preserve"> provides meaningful insight into microbial imbalance during acne flare-ups and enables more targeted antibacterial screening for potential anti-acne agents.</w:t>
      </w:r>
    </w:p>
    <w:p w14:paraId="39FEF94D" w14:textId="77777777" w:rsidR="00AE2A46" w:rsidRPr="00C83771" w:rsidRDefault="00AE2A46" w:rsidP="00AE2A46">
      <w:pPr>
        <w:spacing w:after="120" w:line="276" w:lineRule="auto"/>
        <w:jc w:val="both"/>
        <w:rPr>
          <w:rFonts w:ascii="Arial" w:hAnsi="Arial" w:cs="Arial"/>
          <w:sz w:val="20"/>
          <w:szCs w:val="20"/>
        </w:rPr>
      </w:pPr>
      <w:r w:rsidRPr="00C83771">
        <w:rPr>
          <w:rFonts w:ascii="Arial" w:hAnsi="Arial" w:cs="Arial"/>
          <w:sz w:val="20"/>
          <w:szCs w:val="20"/>
        </w:rPr>
        <w:t xml:space="preserve">Chien </w:t>
      </w:r>
      <w:r w:rsidRPr="00C83771">
        <w:rPr>
          <w:rFonts w:ascii="Arial" w:hAnsi="Arial" w:cs="Arial"/>
          <w:i/>
          <w:iCs/>
          <w:sz w:val="20"/>
          <w:szCs w:val="20"/>
        </w:rPr>
        <w:t>et al</w:t>
      </w:r>
      <w:r w:rsidRPr="00C83771">
        <w:rPr>
          <w:rFonts w:ascii="Arial" w:hAnsi="Arial" w:cs="Arial"/>
          <w:sz w:val="20"/>
          <w:szCs w:val="20"/>
        </w:rPr>
        <w:t xml:space="preserve">. (2016) have stated that due to the physiological changes that take place during pregnancy, as well as the unpredictable nature of acne at this time, acne can be a challenging issue for pregnant women who plan to get pregnant. According to Jones </w:t>
      </w:r>
      <w:r w:rsidRPr="00C83771">
        <w:rPr>
          <w:rFonts w:ascii="Arial" w:hAnsi="Arial" w:cs="Arial"/>
          <w:i/>
          <w:iCs/>
          <w:sz w:val="20"/>
          <w:szCs w:val="20"/>
        </w:rPr>
        <w:t>et al</w:t>
      </w:r>
      <w:r w:rsidRPr="00C83771">
        <w:rPr>
          <w:rFonts w:ascii="Arial" w:hAnsi="Arial" w:cs="Arial"/>
          <w:sz w:val="20"/>
          <w:szCs w:val="20"/>
        </w:rPr>
        <w:t xml:space="preserve"> (2014), acne can become more severe during the third trimester of pregnancy due to rising levels of maternal androgens and the resulting impact on sebum production. Aside from hormonal changes, pregnancy-related immunologic variables may also play a role (Pugashetti &amp; Shinkai, 2013). Based on a study by Dréno </w:t>
      </w:r>
      <w:r w:rsidRPr="00C83771">
        <w:rPr>
          <w:rFonts w:ascii="Arial" w:hAnsi="Arial" w:cs="Arial"/>
          <w:i/>
          <w:iCs/>
          <w:sz w:val="20"/>
          <w:szCs w:val="20"/>
        </w:rPr>
        <w:t>et al</w:t>
      </w:r>
      <w:r w:rsidRPr="00C83771">
        <w:rPr>
          <w:rFonts w:ascii="Arial" w:hAnsi="Arial" w:cs="Arial"/>
          <w:sz w:val="20"/>
          <w:szCs w:val="20"/>
        </w:rPr>
        <w:t xml:space="preserve"> (2014), inflammatory lesions are more frequent than non-inflammatory lesions and frequently involve the trunk. The possible toxicity of the most frequent and effective acne medications to the fetus generally limits acne treatment during pregnancy. Therefore, the therapy of acne in pregnant patients can be complicated due to the contraindication or non-recommendation of several commonly used and effective treatment methods. Examples of topical therapies that can induce skin irritation and result in low treatment compliance are benzoyl peroxide, retinoids, and salicylic acid. Isotretinoin, when taken orally, is considered the most effective acne treatment and has been shown to induce side effects, including dry skin, cheilitis, and photosensitivity. Dryness and skin irritation are two factors that can lead to the breakdown of the stratum corneum barrier, contributing to increased transepidermal water loss (TEWL) and inflammation (Rau </w:t>
      </w:r>
      <w:r w:rsidRPr="00C83771">
        <w:rPr>
          <w:rFonts w:ascii="Arial" w:hAnsi="Arial" w:cs="Arial"/>
          <w:i/>
          <w:iCs/>
          <w:sz w:val="20"/>
          <w:szCs w:val="20"/>
        </w:rPr>
        <w:t>et al</w:t>
      </w:r>
      <w:r w:rsidRPr="00C83771">
        <w:rPr>
          <w:rFonts w:ascii="Arial" w:hAnsi="Arial" w:cs="Arial"/>
          <w:sz w:val="20"/>
          <w:szCs w:val="20"/>
        </w:rPr>
        <w:t xml:space="preserve">., 2024). Due to these side effects, some dermatologists recommend using moisturizers as an adjunct to treat acne, particularly when topical benzoyl peroxide or retinoids are used. Additionally, some evidence suggests that moisturizers can help alleviate acne symptoms (Chularojanamontri </w:t>
      </w:r>
      <w:r w:rsidRPr="00C83771">
        <w:rPr>
          <w:rFonts w:ascii="Arial" w:hAnsi="Arial" w:cs="Arial"/>
          <w:i/>
          <w:iCs/>
          <w:sz w:val="20"/>
          <w:szCs w:val="20"/>
        </w:rPr>
        <w:t>et al</w:t>
      </w:r>
      <w:r w:rsidRPr="00C83771">
        <w:rPr>
          <w:rFonts w:ascii="Arial" w:hAnsi="Arial" w:cs="Arial"/>
          <w:sz w:val="20"/>
          <w:szCs w:val="20"/>
        </w:rPr>
        <w:t>., 2014).</w:t>
      </w:r>
    </w:p>
    <w:p w14:paraId="05AEE10F" w14:textId="77777777" w:rsidR="00AE2A46" w:rsidRDefault="00AE2A46" w:rsidP="007B734B">
      <w:pPr>
        <w:spacing w:line="276" w:lineRule="auto"/>
        <w:jc w:val="both"/>
        <w:rPr>
          <w:rFonts w:ascii="Arial" w:hAnsi="Arial" w:cs="Arial"/>
          <w:sz w:val="20"/>
          <w:szCs w:val="20"/>
        </w:rPr>
      </w:pPr>
      <w:r w:rsidRPr="00C83771">
        <w:rPr>
          <w:rFonts w:ascii="Arial" w:hAnsi="Arial" w:cs="Arial"/>
          <w:sz w:val="20"/>
          <w:szCs w:val="20"/>
        </w:rPr>
        <w:t xml:space="preserve">Moisturizers can provide several dermatological benefits, including antibacterial and wound-healing effects (Mawazi </w:t>
      </w:r>
      <w:r w:rsidRPr="00C83771">
        <w:rPr>
          <w:rFonts w:ascii="Arial" w:hAnsi="Arial" w:cs="Arial"/>
          <w:i/>
          <w:iCs/>
          <w:sz w:val="20"/>
          <w:szCs w:val="20"/>
        </w:rPr>
        <w:t>et al</w:t>
      </w:r>
      <w:r w:rsidRPr="00C83771">
        <w:rPr>
          <w:rFonts w:ascii="Arial" w:hAnsi="Arial" w:cs="Arial"/>
          <w:sz w:val="20"/>
          <w:szCs w:val="20"/>
        </w:rPr>
        <w:t xml:space="preserve">., 2022). Although many formulations exist, their ingredients may not be universally suitable. Rosehip oil, rich in unsaturated fatty acids and anti-oxidants, offers protective properties (Lin </w:t>
      </w:r>
      <w:r w:rsidRPr="00C83771">
        <w:rPr>
          <w:rFonts w:ascii="Arial" w:hAnsi="Arial" w:cs="Arial"/>
          <w:i/>
          <w:iCs/>
          <w:sz w:val="20"/>
          <w:szCs w:val="20"/>
        </w:rPr>
        <w:t>et al</w:t>
      </w:r>
      <w:r w:rsidRPr="00C83771">
        <w:rPr>
          <w:rFonts w:ascii="Arial" w:hAnsi="Arial" w:cs="Arial"/>
          <w:sz w:val="20"/>
          <w:szCs w:val="20"/>
        </w:rPr>
        <w:t>., 2018). Persea gratissima (avocado) oil contains oleic, linoleic, and α-linolenic acids, along with</w:t>
      </w:r>
      <w:r w:rsidRPr="00801C6D">
        <w:rPr>
          <w:rFonts w:ascii="Arial" w:hAnsi="Arial" w:cs="Arial"/>
          <w:sz w:val="20"/>
          <w:szCs w:val="20"/>
        </w:rPr>
        <w:t xml:space="preserve"> β-sitosterol, β-carotene, lecithin, and essential vitamins and minerals, making it valuable in topical applications. Therefore, this study aims to formulate and evaluate an anti-acne moisturizer containing rosehip and P. gratissima oils against S. epidermidis.</w:t>
      </w:r>
    </w:p>
    <w:p w14:paraId="67C63774" w14:textId="77777777" w:rsidR="007B734B" w:rsidRPr="00801C6D" w:rsidRDefault="007B734B" w:rsidP="007B734B">
      <w:pPr>
        <w:spacing w:line="276" w:lineRule="auto"/>
        <w:jc w:val="both"/>
        <w:rPr>
          <w:rFonts w:ascii="Arial" w:hAnsi="Arial" w:cs="Arial"/>
          <w:sz w:val="20"/>
          <w:szCs w:val="20"/>
        </w:rPr>
      </w:pPr>
    </w:p>
    <w:p w14:paraId="20FCA703" w14:textId="77777777" w:rsidR="00AE2A46" w:rsidRPr="00801C6D" w:rsidRDefault="00AE2A46" w:rsidP="00AE2A46">
      <w:pPr>
        <w:spacing w:after="120" w:line="276" w:lineRule="auto"/>
        <w:jc w:val="both"/>
        <w:rPr>
          <w:rFonts w:ascii="Arial" w:hAnsi="Arial" w:cs="Arial"/>
          <w:b/>
          <w:bCs/>
          <w:sz w:val="20"/>
          <w:szCs w:val="20"/>
        </w:rPr>
      </w:pPr>
      <w:r w:rsidRPr="00801C6D">
        <w:rPr>
          <w:rFonts w:ascii="Arial" w:hAnsi="Arial" w:cs="Arial"/>
          <w:b/>
          <w:bCs/>
          <w:sz w:val="20"/>
          <w:szCs w:val="20"/>
        </w:rPr>
        <w:t>Material and Methods</w:t>
      </w:r>
    </w:p>
    <w:p w14:paraId="179FD829" w14:textId="77777777" w:rsidR="00AE2A46" w:rsidRPr="00801C6D" w:rsidRDefault="00AE2A46" w:rsidP="00AE2A46">
      <w:pPr>
        <w:spacing w:after="120" w:line="276" w:lineRule="auto"/>
        <w:jc w:val="both"/>
        <w:rPr>
          <w:rFonts w:ascii="Arial" w:hAnsi="Arial" w:cs="Arial"/>
          <w:i/>
          <w:iCs/>
          <w:sz w:val="20"/>
          <w:szCs w:val="20"/>
        </w:rPr>
      </w:pPr>
      <w:r w:rsidRPr="00801C6D">
        <w:rPr>
          <w:rFonts w:ascii="Arial" w:hAnsi="Arial" w:cs="Arial"/>
          <w:i/>
          <w:iCs/>
          <w:sz w:val="20"/>
          <w:szCs w:val="20"/>
        </w:rPr>
        <w:t xml:space="preserve">Preparation of anti-acne moisturizer </w:t>
      </w:r>
    </w:p>
    <w:p w14:paraId="6A346DF7" w14:textId="77777777" w:rsidR="00AE2A46" w:rsidRDefault="00AE2A46" w:rsidP="00AE2A46">
      <w:pPr>
        <w:spacing w:after="120" w:line="276" w:lineRule="auto"/>
        <w:jc w:val="both"/>
        <w:rPr>
          <w:rFonts w:ascii="Arial" w:hAnsi="Arial" w:cs="Arial"/>
          <w:sz w:val="20"/>
          <w:szCs w:val="20"/>
        </w:rPr>
      </w:pPr>
      <w:r w:rsidRPr="00801C6D">
        <w:rPr>
          <w:rFonts w:ascii="Arial" w:hAnsi="Arial" w:cs="Arial"/>
          <w:sz w:val="20"/>
          <w:szCs w:val="20"/>
        </w:rPr>
        <w:t xml:space="preserve">Three different anti-acne moisturizers, each containing avocado and rosehip oils, were formulated according to the specifications outlined in Table 1. For formulation 1 (F1), 2.0 mL of isopropyl myristate, 3.0 mL of caprylic triglyceride, 1.0 g of shea butter, and 1.0 mL of avocado oil were transferred into a labelled beaker denoted as Beaker A. Simultaneously, in Beaker B, about 6.0 mL of glycerine, 4.0 mL of propylene glycol, 0.3 g of xanthan gum, and 1 mL of distilled water will be added. Both beakers were subjected to a water bath at 75 °C with intermittent manual stirring until the ingredients melted and were homogeneously blended. Subsequently, the contents of Beaker A were gradually introduced into Beaker B while stirring continuously to ensure thorough mixing. Carbopol, prepared in Beaker C by slowly adding 0.5 g of carbopol to 10 mL of distilled water, was then combined with the contents of Beaker B. Homogenization was facilitated using a homogenizer. The remaining distilled water was added to achieve a total volume of 100 mL, ensuring thorough mixing with a homogenizer. Finally, preservatives and fragrances were incorporated. Upon completion of formulation, 3 mL samples from each preparation were placed in centrifuge tubes for stability testing via centrifugation (Maha </w:t>
      </w:r>
      <w:r w:rsidRPr="00C83771">
        <w:rPr>
          <w:rFonts w:ascii="Arial" w:hAnsi="Arial" w:cs="Arial"/>
          <w:i/>
          <w:iCs/>
          <w:sz w:val="20"/>
          <w:szCs w:val="20"/>
        </w:rPr>
        <w:t>et al</w:t>
      </w:r>
      <w:r w:rsidRPr="00801C6D">
        <w:rPr>
          <w:rFonts w:ascii="Arial" w:hAnsi="Arial" w:cs="Arial"/>
          <w:sz w:val="20"/>
          <w:szCs w:val="20"/>
        </w:rPr>
        <w:t>., 2017). Formulations 2 (F2) and 3 (F3) were prepared using the same method, adhering to the specified excipients outlined in Table 1</w:t>
      </w:r>
      <w:r>
        <w:rPr>
          <w:rFonts w:ascii="Arial" w:hAnsi="Arial" w:cs="Arial"/>
          <w:sz w:val="20"/>
          <w:szCs w:val="20"/>
        </w:rPr>
        <w:t>.</w:t>
      </w:r>
    </w:p>
    <w:p w14:paraId="784B0845" w14:textId="77777777" w:rsidR="00765648" w:rsidRDefault="00765648" w:rsidP="00AE2A46">
      <w:pPr>
        <w:spacing w:after="120" w:line="276" w:lineRule="auto"/>
        <w:jc w:val="both"/>
        <w:rPr>
          <w:rFonts w:ascii="Arial" w:hAnsi="Arial" w:cs="Arial"/>
          <w:sz w:val="20"/>
          <w:szCs w:val="20"/>
        </w:rPr>
      </w:pPr>
    </w:p>
    <w:p w14:paraId="37CBDD25" w14:textId="77777777" w:rsidR="00765648" w:rsidRDefault="00765648" w:rsidP="00AE2A46">
      <w:pPr>
        <w:spacing w:after="120" w:line="276" w:lineRule="auto"/>
        <w:jc w:val="both"/>
        <w:rPr>
          <w:rFonts w:ascii="Arial" w:hAnsi="Arial" w:cs="Arial"/>
          <w:sz w:val="20"/>
          <w:szCs w:val="20"/>
        </w:rPr>
      </w:pPr>
    </w:p>
    <w:p w14:paraId="786B8B19" w14:textId="77777777" w:rsidR="00AE2A46" w:rsidRPr="00801C6D" w:rsidRDefault="00AE2A46" w:rsidP="00AE2A46">
      <w:pPr>
        <w:spacing w:after="120"/>
        <w:jc w:val="center"/>
        <w:rPr>
          <w:rFonts w:ascii="Arial" w:hAnsi="Arial" w:cs="Arial"/>
          <w:sz w:val="20"/>
          <w:szCs w:val="20"/>
        </w:rPr>
      </w:pPr>
      <w:r w:rsidRPr="00801C6D">
        <w:rPr>
          <w:rFonts w:ascii="Arial" w:hAnsi="Arial" w:cs="Arial"/>
          <w:b/>
          <w:bCs/>
          <w:i/>
          <w:iCs/>
          <w:sz w:val="20"/>
          <w:szCs w:val="20"/>
        </w:rPr>
        <w:lastRenderedPageBreak/>
        <w:t>Table 1</w:t>
      </w:r>
      <w:r w:rsidRPr="00801C6D">
        <w:rPr>
          <w:rFonts w:ascii="Arial" w:hAnsi="Arial" w:cs="Arial"/>
          <w:i/>
          <w:iCs/>
          <w:sz w:val="20"/>
          <w:szCs w:val="20"/>
        </w:rPr>
        <w:t>:</w:t>
      </w:r>
      <w:r w:rsidRPr="00801C6D">
        <w:rPr>
          <w:rFonts w:ascii="Arial" w:hAnsi="Arial" w:cs="Arial"/>
          <w:sz w:val="20"/>
          <w:szCs w:val="20"/>
        </w:rPr>
        <w:t xml:space="preserve"> </w:t>
      </w:r>
      <w:r w:rsidRPr="00801C6D">
        <w:rPr>
          <w:rFonts w:ascii="Arial" w:hAnsi="Arial" w:cs="Arial"/>
          <w:i/>
          <w:iCs/>
          <w:sz w:val="20"/>
          <w:szCs w:val="20"/>
        </w:rPr>
        <w:t>List of Ingredients to Prepare the Moisturizer of Formulation 1 (F1), Formulation 2 (F2) and Formulation 3 (F3)</w:t>
      </w:r>
    </w:p>
    <w:tbl>
      <w:tblPr>
        <w:tblStyle w:val="TableGrid"/>
        <w:tblW w:w="5000" w:type="pct"/>
        <w:jc w:val="center"/>
        <w:tblLook w:val="04A0" w:firstRow="1" w:lastRow="0" w:firstColumn="1" w:lastColumn="0" w:noHBand="0" w:noVBand="1"/>
      </w:tblPr>
      <w:tblGrid>
        <w:gridCol w:w="582"/>
        <w:gridCol w:w="4220"/>
        <w:gridCol w:w="1408"/>
        <w:gridCol w:w="1408"/>
        <w:gridCol w:w="1399"/>
      </w:tblGrid>
      <w:tr w:rsidR="00AE2A46" w:rsidRPr="00801C6D" w14:paraId="6CB7E6D2" w14:textId="77777777" w:rsidTr="00B46A29">
        <w:trPr>
          <w:trHeight w:val="283"/>
          <w:jc w:val="center"/>
        </w:trPr>
        <w:tc>
          <w:tcPr>
            <w:tcW w:w="322" w:type="pct"/>
            <w:vAlign w:val="center"/>
          </w:tcPr>
          <w:p w14:paraId="50C42D46" w14:textId="77777777" w:rsidR="00AE2A46" w:rsidRPr="00801C6D" w:rsidRDefault="00AE2A46" w:rsidP="00B46A29">
            <w:pPr>
              <w:jc w:val="both"/>
              <w:rPr>
                <w:rFonts w:ascii="Arial" w:hAnsi="Arial" w:cs="Arial"/>
                <w:b/>
                <w:bCs/>
                <w:sz w:val="18"/>
                <w:szCs w:val="18"/>
              </w:rPr>
            </w:pPr>
            <w:r w:rsidRPr="00801C6D">
              <w:rPr>
                <w:rFonts w:ascii="Arial" w:hAnsi="Arial" w:cs="Arial"/>
                <w:b/>
                <w:bCs/>
                <w:sz w:val="18"/>
                <w:szCs w:val="18"/>
              </w:rPr>
              <w:t>No.</w:t>
            </w:r>
          </w:p>
        </w:tc>
        <w:tc>
          <w:tcPr>
            <w:tcW w:w="2340" w:type="pct"/>
            <w:vAlign w:val="center"/>
          </w:tcPr>
          <w:p w14:paraId="1109C58D" w14:textId="77777777" w:rsidR="00AE2A46" w:rsidRPr="00801C6D" w:rsidRDefault="00AE2A46" w:rsidP="00B46A29">
            <w:pPr>
              <w:jc w:val="both"/>
              <w:rPr>
                <w:rFonts w:ascii="Arial" w:hAnsi="Arial" w:cs="Arial"/>
                <w:b/>
                <w:bCs/>
                <w:sz w:val="18"/>
                <w:szCs w:val="18"/>
              </w:rPr>
            </w:pPr>
            <w:r w:rsidRPr="00801C6D">
              <w:rPr>
                <w:rFonts w:ascii="Arial" w:hAnsi="Arial" w:cs="Arial"/>
                <w:b/>
                <w:bCs/>
                <w:sz w:val="18"/>
                <w:szCs w:val="18"/>
              </w:rPr>
              <w:t>Ingredients</w:t>
            </w:r>
          </w:p>
        </w:tc>
        <w:tc>
          <w:tcPr>
            <w:tcW w:w="781" w:type="pct"/>
            <w:vAlign w:val="center"/>
          </w:tcPr>
          <w:p w14:paraId="3EEC7403" w14:textId="77777777" w:rsidR="00AE2A46" w:rsidRPr="00801C6D" w:rsidRDefault="00AE2A46" w:rsidP="00B46A29">
            <w:pPr>
              <w:jc w:val="center"/>
              <w:rPr>
                <w:rFonts w:ascii="Arial" w:hAnsi="Arial" w:cs="Arial"/>
                <w:b/>
                <w:bCs/>
                <w:sz w:val="18"/>
                <w:szCs w:val="18"/>
              </w:rPr>
            </w:pPr>
            <w:r w:rsidRPr="00801C6D">
              <w:rPr>
                <w:rFonts w:ascii="Arial" w:hAnsi="Arial" w:cs="Arial"/>
                <w:b/>
                <w:bCs/>
                <w:sz w:val="18"/>
                <w:szCs w:val="18"/>
              </w:rPr>
              <w:t>F1</w:t>
            </w:r>
          </w:p>
        </w:tc>
        <w:tc>
          <w:tcPr>
            <w:tcW w:w="781" w:type="pct"/>
            <w:vAlign w:val="center"/>
          </w:tcPr>
          <w:p w14:paraId="102B5D00" w14:textId="77777777" w:rsidR="00AE2A46" w:rsidRPr="00801C6D" w:rsidRDefault="00AE2A46" w:rsidP="00B46A29">
            <w:pPr>
              <w:jc w:val="center"/>
              <w:rPr>
                <w:rFonts w:ascii="Arial" w:hAnsi="Arial" w:cs="Arial"/>
                <w:b/>
                <w:bCs/>
                <w:sz w:val="18"/>
                <w:szCs w:val="18"/>
              </w:rPr>
            </w:pPr>
            <w:r w:rsidRPr="00801C6D">
              <w:rPr>
                <w:rFonts w:ascii="Arial" w:hAnsi="Arial" w:cs="Arial"/>
                <w:b/>
                <w:bCs/>
                <w:sz w:val="18"/>
                <w:szCs w:val="18"/>
              </w:rPr>
              <w:t>F2</w:t>
            </w:r>
          </w:p>
        </w:tc>
        <w:tc>
          <w:tcPr>
            <w:tcW w:w="776" w:type="pct"/>
            <w:vAlign w:val="center"/>
          </w:tcPr>
          <w:p w14:paraId="6A9B8E88" w14:textId="77777777" w:rsidR="00AE2A46" w:rsidRPr="00801C6D" w:rsidRDefault="00AE2A46" w:rsidP="00B46A29">
            <w:pPr>
              <w:jc w:val="center"/>
              <w:rPr>
                <w:rFonts w:ascii="Arial" w:hAnsi="Arial" w:cs="Arial"/>
                <w:b/>
                <w:bCs/>
                <w:sz w:val="18"/>
                <w:szCs w:val="18"/>
              </w:rPr>
            </w:pPr>
            <w:r w:rsidRPr="00801C6D">
              <w:rPr>
                <w:rFonts w:ascii="Arial" w:hAnsi="Arial" w:cs="Arial"/>
                <w:b/>
                <w:bCs/>
                <w:sz w:val="18"/>
                <w:szCs w:val="18"/>
              </w:rPr>
              <w:t>F3</w:t>
            </w:r>
          </w:p>
        </w:tc>
      </w:tr>
      <w:tr w:rsidR="00AE2A46" w:rsidRPr="00801C6D" w14:paraId="121E829F" w14:textId="77777777" w:rsidTr="00B46A29">
        <w:trPr>
          <w:trHeight w:val="283"/>
          <w:jc w:val="center"/>
        </w:trPr>
        <w:tc>
          <w:tcPr>
            <w:tcW w:w="322" w:type="pct"/>
            <w:vAlign w:val="center"/>
          </w:tcPr>
          <w:p w14:paraId="661F0A50" w14:textId="77777777" w:rsidR="00AE2A46" w:rsidRPr="00801C6D" w:rsidRDefault="00AE2A46" w:rsidP="00B46A29">
            <w:pPr>
              <w:jc w:val="both"/>
              <w:rPr>
                <w:rFonts w:ascii="Arial" w:hAnsi="Arial" w:cs="Arial"/>
                <w:sz w:val="18"/>
                <w:szCs w:val="18"/>
              </w:rPr>
            </w:pPr>
            <w:r w:rsidRPr="00801C6D">
              <w:rPr>
                <w:rFonts w:ascii="Arial" w:hAnsi="Arial" w:cs="Arial"/>
                <w:sz w:val="18"/>
                <w:szCs w:val="18"/>
              </w:rPr>
              <w:t>1.</w:t>
            </w:r>
          </w:p>
        </w:tc>
        <w:tc>
          <w:tcPr>
            <w:tcW w:w="2340" w:type="pct"/>
            <w:vAlign w:val="center"/>
          </w:tcPr>
          <w:p w14:paraId="4FDB7B00" w14:textId="77777777" w:rsidR="00AE2A46" w:rsidRPr="00801C6D" w:rsidRDefault="00AE2A46" w:rsidP="00B46A29">
            <w:pPr>
              <w:jc w:val="both"/>
              <w:rPr>
                <w:rFonts w:ascii="Arial" w:hAnsi="Arial" w:cs="Arial"/>
                <w:sz w:val="18"/>
                <w:szCs w:val="18"/>
              </w:rPr>
            </w:pPr>
            <w:r w:rsidRPr="00801C6D">
              <w:rPr>
                <w:rFonts w:ascii="Arial" w:hAnsi="Arial" w:cs="Arial"/>
                <w:sz w:val="18"/>
                <w:szCs w:val="18"/>
              </w:rPr>
              <w:t>Isopropyl myristate</w:t>
            </w:r>
          </w:p>
        </w:tc>
        <w:tc>
          <w:tcPr>
            <w:tcW w:w="781" w:type="pct"/>
            <w:vAlign w:val="center"/>
          </w:tcPr>
          <w:p w14:paraId="320A83F8" w14:textId="77777777" w:rsidR="00AE2A46" w:rsidRPr="00801C6D" w:rsidRDefault="00AE2A46" w:rsidP="00B46A29">
            <w:pPr>
              <w:jc w:val="center"/>
              <w:rPr>
                <w:rFonts w:ascii="Arial" w:hAnsi="Arial" w:cs="Arial"/>
                <w:sz w:val="18"/>
                <w:szCs w:val="18"/>
              </w:rPr>
            </w:pPr>
            <w:r w:rsidRPr="00801C6D">
              <w:rPr>
                <w:rFonts w:ascii="Arial" w:hAnsi="Arial" w:cs="Arial"/>
                <w:sz w:val="18"/>
                <w:szCs w:val="18"/>
              </w:rPr>
              <w:t>2.0 mL</w:t>
            </w:r>
          </w:p>
        </w:tc>
        <w:tc>
          <w:tcPr>
            <w:tcW w:w="781" w:type="pct"/>
            <w:vAlign w:val="center"/>
          </w:tcPr>
          <w:p w14:paraId="58759A2F" w14:textId="77777777" w:rsidR="00AE2A46" w:rsidRPr="00801C6D" w:rsidRDefault="00AE2A46" w:rsidP="00B46A29">
            <w:pPr>
              <w:jc w:val="center"/>
              <w:rPr>
                <w:rFonts w:ascii="Arial" w:hAnsi="Arial" w:cs="Arial"/>
                <w:sz w:val="18"/>
                <w:szCs w:val="18"/>
              </w:rPr>
            </w:pPr>
            <w:r w:rsidRPr="00801C6D">
              <w:rPr>
                <w:rFonts w:ascii="Arial" w:hAnsi="Arial" w:cs="Arial"/>
                <w:sz w:val="18"/>
                <w:szCs w:val="18"/>
              </w:rPr>
              <w:t>2.0 mL</w:t>
            </w:r>
          </w:p>
        </w:tc>
        <w:tc>
          <w:tcPr>
            <w:tcW w:w="776" w:type="pct"/>
            <w:vAlign w:val="center"/>
          </w:tcPr>
          <w:p w14:paraId="32A8D5CA" w14:textId="77777777" w:rsidR="00AE2A46" w:rsidRPr="00801C6D" w:rsidRDefault="00AE2A46" w:rsidP="00B46A29">
            <w:pPr>
              <w:jc w:val="center"/>
              <w:rPr>
                <w:rFonts w:ascii="Arial" w:hAnsi="Arial" w:cs="Arial"/>
                <w:sz w:val="18"/>
                <w:szCs w:val="18"/>
              </w:rPr>
            </w:pPr>
            <w:r w:rsidRPr="00801C6D">
              <w:rPr>
                <w:rFonts w:ascii="Arial" w:hAnsi="Arial" w:cs="Arial"/>
                <w:sz w:val="18"/>
                <w:szCs w:val="18"/>
              </w:rPr>
              <w:t>2.0 mL</w:t>
            </w:r>
          </w:p>
        </w:tc>
      </w:tr>
      <w:tr w:rsidR="00AE2A46" w:rsidRPr="00801C6D" w14:paraId="2530E2C2" w14:textId="77777777" w:rsidTr="00B46A29">
        <w:trPr>
          <w:trHeight w:val="283"/>
          <w:jc w:val="center"/>
        </w:trPr>
        <w:tc>
          <w:tcPr>
            <w:tcW w:w="322" w:type="pct"/>
            <w:vAlign w:val="center"/>
          </w:tcPr>
          <w:p w14:paraId="3785D83E" w14:textId="77777777" w:rsidR="00AE2A46" w:rsidRPr="00801C6D" w:rsidRDefault="00AE2A46" w:rsidP="00B46A29">
            <w:pPr>
              <w:jc w:val="both"/>
              <w:rPr>
                <w:rFonts w:ascii="Arial" w:hAnsi="Arial" w:cs="Arial"/>
                <w:sz w:val="18"/>
                <w:szCs w:val="18"/>
              </w:rPr>
            </w:pPr>
            <w:r w:rsidRPr="00801C6D">
              <w:rPr>
                <w:rFonts w:ascii="Arial" w:hAnsi="Arial" w:cs="Arial"/>
                <w:sz w:val="18"/>
                <w:szCs w:val="18"/>
              </w:rPr>
              <w:t>2.</w:t>
            </w:r>
          </w:p>
        </w:tc>
        <w:tc>
          <w:tcPr>
            <w:tcW w:w="2340" w:type="pct"/>
            <w:vAlign w:val="center"/>
          </w:tcPr>
          <w:p w14:paraId="24C58B22" w14:textId="77777777" w:rsidR="00AE2A46" w:rsidRPr="00801C6D" w:rsidRDefault="00AE2A46" w:rsidP="00B46A29">
            <w:pPr>
              <w:jc w:val="both"/>
              <w:rPr>
                <w:rFonts w:ascii="Arial" w:hAnsi="Arial" w:cs="Arial"/>
                <w:sz w:val="18"/>
                <w:szCs w:val="18"/>
              </w:rPr>
            </w:pPr>
            <w:r w:rsidRPr="00801C6D">
              <w:rPr>
                <w:rFonts w:ascii="Arial" w:hAnsi="Arial" w:cs="Arial"/>
                <w:sz w:val="18"/>
                <w:szCs w:val="18"/>
              </w:rPr>
              <w:t>Caprylic triglycerides</w:t>
            </w:r>
          </w:p>
        </w:tc>
        <w:tc>
          <w:tcPr>
            <w:tcW w:w="781" w:type="pct"/>
            <w:vAlign w:val="center"/>
          </w:tcPr>
          <w:p w14:paraId="49774B34" w14:textId="77777777" w:rsidR="00AE2A46" w:rsidRPr="00801C6D" w:rsidRDefault="00AE2A46" w:rsidP="00B46A29">
            <w:pPr>
              <w:jc w:val="center"/>
              <w:rPr>
                <w:rFonts w:ascii="Arial" w:hAnsi="Arial" w:cs="Arial"/>
                <w:sz w:val="18"/>
                <w:szCs w:val="18"/>
              </w:rPr>
            </w:pPr>
            <w:r w:rsidRPr="00801C6D">
              <w:rPr>
                <w:rFonts w:ascii="Arial" w:hAnsi="Arial" w:cs="Arial"/>
                <w:sz w:val="18"/>
                <w:szCs w:val="18"/>
              </w:rPr>
              <w:t>3.0 mL</w:t>
            </w:r>
          </w:p>
        </w:tc>
        <w:tc>
          <w:tcPr>
            <w:tcW w:w="781" w:type="pct"/>
            <w:vAlign w:val="center"/>
          </w:tcPr>
          <w:p w14:paraId="008CD80C" w14:textId="77777777" w:rsidR="00AE2A46" w:rsidRPr="00801C6D" w:rsidRDefault="00AE2A46" w:rsidP="00B46A29">
            <w:pPr>
              <w:jc w:val="center"/>
              <w:rPr>
                <w:rFonts w:ascii="Arial" w:hAnsi="Arial" w:cs="Arial"/>
                <w:sz w:val="18"/>
                <w:szCs w:val="18"/>
              </w:rPr>
            </w:pPr>
            <w:r w:rsidRPr="00801C6D">
              <w:rPr>
                <w:rFonts w:ascii="Arial" w:hAnsi="Arial" w:cs="Arial"/>
                <w:sz w:val="18"/>
                <w:szCs w:val="18"/>
              </w:rPr>
              <w:t>3.0 mL</w:t>
            </w:r>
          </w:p>
        </w:tc>
        <w:tc>
          <w:tcPr>
            <w:tcW w:w="776" w:type="pct"/>
            <w:vAlign w:val="center"/>
          </w:tcPr>
          <w:p w14:paraId="3648E2C8" w14:textId="77777777" w:rsidR="00AE2A46" w:rsidRPr="00801C6D" w:rsidRDefault="00AE2A46" w:rsidP="00B46A29">
            <w:pPr>
              <w:jc w:val="center"/>
              <w:rPr>
                <w:rFonts w:ascii="Arial" w:hAnsi="Arial" w:cs="Arial"/>
                <w:sz w:val="18"/>
                <w:szCs w:val="18"/>
              </w:rPr>
            </w:pPr>
            <w:r w:rsidRPr="00801C6D">
              <w:rPr>
                <w:rFonts w:ascii="Arial" w:hAnsi="Arial" w:cs="Arial"/>
                <w:sz w:val="18"/>
                <w:szCs w:val="18"/>
              </w:rPr>
              <w:t>3.0 mL</w:t>
            </w:r>
          </w:p>
        </w:tc>
      </w:tr>
      <w:tr w:rsidR="00AE2A46" w:rsidRPr="00801C6D" w14:paraId="6450B954" w14:textId="77777777" w:rsidTr="00B46A29">
        <w:trPr>
          <w:trHeight w:val="283"/>
          <w:jc w:val="center"/>
        </w:trPr>
        <w:tc>
          <w:tcPr>
            <w:tcW w:w="322" w:type="pct"/>
            <w:vAlign w:val="center"/>
          </w:tcPr>
          <w:p w14:paraId="5F77F215" w14:textId="77777777" w:rsidR="00AE2A46" w:rsidRPr="00801C6D" w:rsidRDefault="00AE2A46" w:rsidP="00B46A29">
            <w:pPr>
              <w:jc w:val="both"/>
              <w:rPr>
                <w:rFonts w:ascii="Arial" w:hAnsi="Arial" w:cs="Arial"/>
                <w:sz w:val="18"/>
                <w:szCs w:val="18"/>
              </w:rPr>
            </w:pPr>
            <w:r w:rsidRPr="00801C6D">
              <w:rPr>
                <w:rFonts w:ascii="Arial" w:hAnsi="Arial" w:cs="Arial"/>
                <w:sz w:val="18"/>
                <w:szCs w:val="18"/>
              </w:rPr>
              <w:t>3.</w:t>
            </w:r>
          </w:p>
        </w:tc>
        <w:tc>
          <w:tcPr>
            <w:tcW w:w="2340" w:type="pct"/>
            <w:vAlign w:val="center"/>
          </w:tcPr>
          <w:p w14:paraId="178F0605" w14:textId="77777777" w:rsidR="00AE2A46" w:rsidRPr="00801C6D" w:rsidRDefault="00AE2A46" w:rsidP="00B46A29">
            <w:pPr>
              <w:jc w:val="both"/>
              <w:rPr>
                <w:rFonts w:ascii="Arial" w:hAnsi="Arial" w:cs="Arial"/>
                <w:sz w:val="18"/>
                <w:szCs w:val="18"/>
              </w:rPr>
            </w:pPr>
            <w:r w:rsidRPr="00801C6D">
              <w:rPr>
                <w:rFonts w:ascii="Arial" w:hAnsi="Arial" w:cs="Arial"/>
                <w:sz w:val="18"/>
                <w:szCs w:val="18"/>
              </w:rPr>
              <w:t>Persea gratissima (avocado) oil</w:t>
            </w:r>
          </w:p>
        </w:tc>
        <w:tc>
          <w:tcPr>
            <w:tcW w:w="781" w:type="pct"/>
            <w:vAlign w:val="center"/>
          </w:tcPr>
          <w:p w14:paraId="64E6A0FE" w14:textId="77777777" w:rsidR="00AE2A46" w:rsidRPr="00801C6D" w:rsidRDefault="00AE2A46" w:rsidP="00B46A29">
            <w:pPr>
              <w:jc w:val="center"/>
              <w:rPr>
                <w:rFonts w:ascii="Arial" w:hAnsi="Arial" w:cs="Arial"/>
                <w:sz w:val="18"/>
                <w:szCs w:val="18"/>
              </w:rPr>
            </w:pPr>
            <w:r w:rsidRPr="00801C6D">
              <w:rPr>
                <w:rFonts w:ascii="Arial" w:hAnsi="Arial" w:cs="Arial"/>
                <w:sz w:val="18"/>
                <w:szCs w:val="18"/>
              </w:rPr>
              <w:t>1.0 mL</w:t>
            </w:r>
          </w:p>
        </w:tc>
        <w:tc>
          <w:tcPr>
            <w:tcW w:w="781" w:type="pct"/>
            <w:vAlign w:val="center"/>
          </w:tcPr>
          <w:p w14:paraId="7EBB0C6F" w14:textId="77777777" w:rsidR="00AE2A46" w:rsidRPr="00801C6D" w:rsidRDefault="00AE2A46" w:rsidP="00B46A29">
            <w:pPr>
              <w:jc w:val="center"/>
              <w:rPr>
                <w:rFonts w:ascii="Arial" w:hAnsi="Arial" w:cs="Arial"/>
                <w:sz w:val="18"/>
                <w:szCs w:val="18"/>
              </w:rPr>
            </w:pPr>
            <w:r w:rsidRPr="00801C6D">
              <w:rPr>
                <w:rFonts w:ascii="Arial" w:hAnsi="Arial" w:cs="Arial"/>
                <w:sz w:val="18"/>
                <w:szCs w:val="18"/>
              </w:rPr>
              <w:t>-</w:t>
            </w:r>
          </w:p>
        </w:tc>
        <w:tc>
          <w:tcPr>
            <w:tcW w:w="776" w:type="pct"/>
            <w:vAlign w:val="center"/>
          </w:tcPr>
          <w:p w14:paraId="68D8E832" w14:textId="77777777" w:rsidR="00AE2A46" w:rsidRPr="00801C6D" w:rsidRDefault="00AE2A46" w:rsidP="00B46A29">
            <w:pPr>
              <w:jc w:val="center"/>
              <w:rPr>
                <w:rFonts w:ascii="Arial" w:hAnsi="Arial" w:cs="Arial"/>
                <w:sz w:val="18"/>
                <w:szCs w:val="18"/>
              </w:rPr>
            </w:pPr>
            <w:r w:rsidRPr="00801C6D">
              <w:rPr>
                <w:rFonts w:ascii="Arial" w:hAnsi="Arial" w:cs="Arial"/>
                <w:sz w:val="18"/>
                <w:szCs w:val="18"/>
              </w:rPr>
              <w:t>1.0 mL</w:t>
            </w:r>
          </w:p>
        </w:tc>
      </w:tr>
      <w:tr w:rsidR="00AE2A46" w:rsidRPr="00801C6D" w14:paraId="679E2C8C" w14:textId="77777777" w:rsidTr="00B46A29">
        <w:trPr>
          <w:trHeight w:val="283"/>
          <w:jc w:val="center"/>
        </w:trPr>
        <w:tc>
          <w:tcPr>
            <w:tcW w:w="322" w:type="pct"/>
            <w:vAlign w:val="center"/>
          </w:tcPr>
          <w:p w14:paraId="07E2AC54" w14:textId="77777777" w:rsidR="00AE2A46" w:rsidRPr="00801C6D" w:rsidRDefault="00AE2A46" w:rsidP="00B46A29">
            <w:pPr>
              <w:jc w:val="both"/>
              <w:rPr>
                <w:rFonts w:ascii="Arial" w:hAnsi="Arial" w:cs="Arial"/>
                <w:sz w:val="18"/>
                <w:szCs w:val="18"/>
              </w:rPr>
            </w:pPr>
            <w:r w:rsidRPr="00801C6D">
              <w:rPr>
                <w:rFonts w:ascii="Arial" w:hAnsi="Arial" w:cs="Arial"/>
                <w:sz w:val="18"/>
                <w:szCs w:val="18"/>
              </w:rPr>
              <w:t>4.</w:t>
            </w:r>
          </w:p>
        </w:tc>
        <w:tc>
          <w:tcPr>
            <w:tcW w:w="2340" w:type="pct"/>
            <w:vAlign w:val="center"/>
          </w:tcPr>
          <w:p w14:paraId="1DF9B9B5" w14:textId="77777777" w:rsidR="00AE2A46" w:rsidRPr="00801C6D" w:rsidRDefault="00AE2A46" w:rsidP="00B46A29">
            <w:pPr>
              <w:jc w:val="both"/>
              <w:rPr>
                <w:rFonts w:ascii="Arial" w:hAnsi="Arial" w:cs="Arial"/>
                <w:sz w:val="18"/>
                <w:szCs w:val="18"/>
              </w:rPr>
            </w:pPr>
            <w:r w:rsidRPr="00801C6D">
              <w:rPr>
                <w:rFonts w:ascii="Arial" w:hAnsi="Arial" w:cs="Arial"/>
                <w:sz w:val="18"/>
                <w:szCs w:val="18"/>
              </w:rPr>
              <w:t>Rosehip seed oil</w:t>
            </w:r>
          </w:p>
        </w:tc>
        <w:tc>
          <w:tcPr>
            <w:tcW w:w="781" w:type="pct"/>
            <w:vAlign w:val="center"/>
          </w:tcPr>
          <w:p w14:paraId="10560828" w14:textId="77777777" w:rsidR="00AE2A46" w:rsidRPr="00801C6D" w:rsidRDefault="00AE2A46" w:rsidP="00B46A29">
            <w:pPr>
              <w:jc w:val="center"/>
              <w:rPr>
                <w:rFonts w:ascii="Arial" w:hAnsi="Arial" w:cs="Arial"/>
                <w:sz w:val="18"/>
                <w:szCs w:val="18"/>
              </w:rPr>
            </w:pPr>
            <w:r w:rsidRPr="00801C6D">
              <w:rPr>
                <w:rFonts w:ascii="Arial" w:hAnsi="Arial" w:cs="Arial"/>
                <w:sz w:val="18"/>
                <w:szCs w:val="18"/>
              </w:rPr>
              <w:t>-</w:t>
            </w:r>
          </w:p>
        </w:tc>
        <w:tc>
          <w:tcPr>
            <w:tcW w:w="781" w:type="pct"/>
            <w:vAlign w:val="center"/>
          </w:tcPr>
          <w:p w14:paraId="4F83B13C" w14:textId="77777777" w:rsidR="00AE2A46" w:rsidRPr="00801C6D" w:rsidRDefault="00AE2A46" w:rsidP="00B46A29">
            <w:pPr>
              <w:jc w:val="center"/>
              <w:rPr>
                <w:rFonts w:ascii="Arial" w:hAnsi="Arial" w:cs="Arial"/>
                <w:sz w:val="18"/>
                <w:szCs w:val="18"/>
              </w:rPr>
            </w:pPr>
            <w:r w:rsidRPr="00801C6D">
              <w:rPr>
                <w:rFonts w:ascii="Arial" w:hAnsi="Arial" w:cs="Arial"/>
                <w:sz w:val="18"/>
                <w:szCs w:val="18"/>
              </w:rPr>
              <w:t>1.0 mL</w:t>
            </w:r>
          </w:p>
        </w:tc>
        <w:tc>
          <w:tcPr>
            <w:tcW w:w="776" w:type="pct"/>
            <w:vAlign w:val="center"/>
          </w:tcPr>
          <w:p w14:paraId="0A332850" w14:textId="77777777" w:rsidR="00AE2A46" w:rsidRPr="00801C6D" w:rsidRDefault="00AE2A46" w:rsidP="00B46A29">
            <w:pPr>
              <w:jc w:val="center"/>
              <w:rPr>
                <w:rFonts w:ascii="Arial" w:hAnsi="Arial" w:cs="Arial"/>
                <w:sz w:val="18"/>
                <w:szCs w:val="18"/>
              </w:rPr>
            </w:pPr>
            <w:r w:rsidRPr="00801C6D">
              <w:rPr>
                <w:rFonts w:ascii="Arial" w:hAnsi="Arial" w:cs="Arial"/>
                <w:sz w:val="18"/>
                <w:szCs w:val="18"/>
              </w:rPr>
              <w:t>1.0 mL</w:t>
            </w:r>
          </w:p>
        </w:tc>
      </w:tr>
      <w:tr w:rsidR="00AE2A46" w:rsidRPr="00801C6D" w14:paraId="42F374E2" w14:textId="77777777" w:rsidTr="00B46A29">
        <w:trPr>
          <w:trHeight w:val="283"/>
          <w:jc w:val="center"/>
        </w:trPr>
        <w:tc>
          <w:tcPr>
            <w:tcW w:w="322" w:type="pct"/>
            <w:vAlign w:val="center"/>
          </w:tcPr>
          <w:p w14:paraId="3A1FEC7F" w14:textId="77777777" w:rsidR="00AE2A46" w:rsidRPr="00801C6D" w:rsidRDefault="00AE2A46" w:rsidP="00B46A29">
            <w:pPr>
              <w:jc w:val="both"/>
              <w:rPr>
                <w:rFonts w:ascii="Arial" w:hAnsi="Arial" w:cs="Arial"/>
                <w:sz w:val="18"/>
                <w:szCs w:val="18"/>
              </w:rPr>
            </w:pPr>
            <w:r w:rsidRPr="00801C6D">
              <w:rPr>
                <w:rFonts w:ascii="Arial" w:hAnsi="Arial" w:cs="Arial"/>
                <w:sz w:val="18"/>
                <w:szCs w:val="18"/>
              </w:rPr>
              <w:t>5.</w:t>
            </w:r>
          </w:p>
        </w:tc>
        <w:tc>
          <w:tcPr>
            <w:tcW w:w="2340" w:type="pct"/>
            <w:vAlign w:val="center"/>
          </w:tcPr>
          <w:p w14:paraId="75C0A4B7" w14:textId="77777777" w:rsidR="00AE2A46" w:rsidRPr="00801C6D" w:rsidRDefault="00AE2A46" w:rsidP="00B46A29">
            <w:pPr>
              <w:jc w:val="both"/>
              <w:rPr>
                <w:rFonts w:ascii="Arial" w:hAnsi="Arial" w:cs="Arial"/>
                <w:sz w:val="18"/>
                <w:szCs w:val="18"/>
              </w:rPr>
            </w:pPr>
            <w:r w:rsidRPr="00801C6D">
              <w:rPr>
                <w:rFonts w:ascii="Arial" w:hAnsi="Arial" w:cs="Arial"/>
                <w:sz w:val="18"/>
                <w:szCs w:val="18"/>
              </w:rPr>
              <w:t>Xanthan gum</w:t>
            </w:r>
          </w:p>
        </w:tc>
        <w:tc>
          <w:tcPr>
            <w:tcW w:w="781" w:type="pct"/>
            <w:vAlign w:val="center"/>
          </w:tcPr>
          <w:p w14:paraId="7A7C05D9" w14:textId="77777777" w:rsidR="00AE2A46" w:rsidRPr="00801C6D" w:rsidRDefault="00AE2A46" w:rsidP="00B46A29">
            <w:pPr>
              <w:jc w:val="center"/>
              <w:rPr>
                <w:rFonts w:ascii="Arial" w:hAnsi="Arial" w:cs="Arial"/>
                <w:sz w:val="18"/>
                <w:szCs w:val="18"/>
              </w:rPr>
            </w:pPr>
            <w:r w:rsidRPr="00801C6D">
              <w:rPr>
                <w:rFonts w:ascii="Arial" w:hAnsi="Arial" w:cs="Arial"/>
                <w:sz w:val="18"/>
                <w:szCs w:val="18"/>
              </w:rPr>
              <w:t>0.3 g</w:t>
            </w:r>
          </w:p>
        </w:tc>
        <w:tc>
          <w:tcPr>
            <w:tcW w:w="781" w:type="pct"/>
            <w:vAlign w:val="center"/>
          </w:tcPr>
          <w:p w14:paraId="02F96254" w14:textId="77777777" w:rsidR="00AE2A46" w:rsidRPr="00801C6D" w:rsidRDefault="00AE2A46" w:rsidP="00B46A29">
            <w:pPr>
              <w:jc w:val="center"/>
              <w:rPr>
                <w:rFonts w:ascii="Arial" w:hAnsi="Arial" w:cs="Arial"/>
                <w:sz w:val="18"/>
                <w:szCs w:val="18"/>
              </w:rPr>
            </w:pPr>
            <w:r w:rsidRPr="00801C6D">
              <w:rPr>
                <w:rFonts w:ascii="Arial" w:hAnsi="Arial" w:cs="Arial"/>
                <w:sz w:val="18"/>
                <w:szCs w:val="18"/>
              </w:rPr>
              <w:t>0.3 g</w:t>
            </w:r>
          </w:p>
        </w:tc>
        <w:tc>
          <w:tcPr>
            <w:tcW w:w="776" w:type="pct"/>
            <w:vAlign w:val="center"/>
          </w:tcPr>
          <w:p w14:paraId="343DD3CF" w14:textId="77777777" w:rsidR="00AE2A46" w:rsidRPr="00801C6D" w:rsidRDefault="00AE2A46" w:rsidP="00B46A29">
            <w:pPr>
              <w:jc w:val="center"/>
              <w:rPr>
                <w:rFonts w:ascii="Arial" w:hAnsi="Arial" w:cs="Arial"/>
                <w:sz w:val="18"/>
                <w:szCs w:val="18"/>
              </w:rPr>
            </w:pPr>
            <w:r w:rsidRPr="00801C6D">
              <w:rPr>
                <w:rFonts w:ascii="Arial" w:hAnsi="Arial" w:cs="Arial"/>
                <w:sz w:val="18"/>
                <w:szCs w:val="18"/>
              </w:rPr>
              <w:t>0.3 g</w:t>
            </w:r>
          </w:p>
        </w:tc>
      </w:tr>
      <w:tr w:rsidR="00AE2A46" w:rsidRPr="00801C6D" w14:paraId="66C79821" w14:textId="77777777" w:rsidTr="00B46A29">
        <w:trPr>
          <w:trHeight w:val="283"/>
          <w:jc w:val="center"/>
        </w:trPr>
        <w:tc>
          <w:tcPr>
            <w:tcW w:w="322" w:type="pct"/>
            <w:vAlign w:val="center"/>
          </w:tcPr>
          <w:p w14:paraId="10D7D3ED" w14:textId="77777777" w:rsidR="00AE2A46" w:rsidRPr="00801C6D" w:rsidRDefault="00AE2A46" w:rsidP="00B46A29">
            <w:pPr>
              <w:jc w:val="both"/>
              <w:rPr>
                <w:rFonts w:ascii="Arial" w:hAnsi="Arial" w:cs="Arial"/>
                <w:sz w:val="18"/>
                <w:szCs w:val="18"/>
              </w:rPr>
            </w:pPr>
            <w:r w:rsidRPr="00801C6D">
              <w:rPr>
                <w:rFonts w:ascii="Arial" w:hAnsi="Arial" w:cs="Arial"/>
                <w:sz w:val="18"/>
                <w:szCs w:val="18"/>
              </w:rPr>
              <w:t>6.</w:t>
            </w:r>
          </w:p>
        </w:tc>
        <w:tc>
          <w:tcPr>
            <w:tcW w:w="2340" w:type="pct"/>
            <w:vAlign w:val="center"/>
          </w:tcPr>
          <w:p w14:paraId="42E9EC10" w14:textId="77777777" w:rsidR="00AE2A46" w:rsidRPr="00801C6D" w:rsidRDefault="00AE2A46" w:rsidP="00B46A29">
            <w:pPr>
              <w:jc w:val="both"/>
              <w:rPr>
                <w:rFonts w:ascii="Arial" w:hAnsi="Arial" w:cs="Arial"/>
                <w:sz w:val="18"/>
                <w:szCs w:val="18"/>
              </w:rPr>
            </w:pPr>
            <w:r w:rsidRPr="00801C6D">
              <w:rPr>
                <w:rFonts w:ascii="Arial" w:hAnsi="Arial" w:cs="Arial"/>
                <w:sz w:val="18"/>
                <w:szCs w:val="18"/>
              </w:rPr>
              <w:t>Glycerine</w:t>
            </w:r>
          </w:p>
        </w:tc>
        <w:tc>
          <w:tcPr>
            <w:tcW w:w="781" w:type="pct"/>
            <w:vAlign w:val="center"/>
          </w:tcPr>
          <w:p w14:paraId="2311E7CC" w14:textId="77777777" w:rsidR="00AE2A46" w:rsidRPr="00801C6D" w:rsidRDefault="00AE2A46" w:rsidP="00B46A29">
            <w:pPr>
              <w:jc w:val="center"/>
              <w:rPr>
                <w:rFonts w:ascii="Arial" w:hAnsi="Arial" w:cs="Arial"/>
                <w:sz w:val="18"/>
                <w:szCs w:val="18"/>
              </w:rPr>
            </w:pPr>
            <w:r w:rsidRPr="00801C6D">
              <w:rPr>
                <w:rFonts w:ascii="Arial" w:hAnsi="Arial" w:cs="Arial"/>
                <w:sz w:val="18"/>
                <w:szCs w:val="18"/>
              </w:rPr>
              <w:t>6.0 mL</w:t>
            </w:r>
          </w:p>
        </w:tc>
        <w:tc>
          <w:tcPr>
            <w:tcW w:w="781" w:type="pct"/>
            <w:vAlign w:val="center"/>
          </w:tcPr>
          <w:p w14:paraId="00F6499E" w14:textId="77777777" w:rsidR="00AE2A46" w:rsidRPr="00801C6D" w:rsidRDefault="00AE2A46" w:rsidP="00B46A29">
            <w:pPr>
              <w:jc w:val="center"/>
              <w:rPr>
                <w:rFonts w:ascii="Arial" w:hAnsi="Arial" w:cs="Arial"/>
                <w:sz w:val="18"/>
                <w:szCs w:val="18"/>
              </w:rPr>
            </w:pPr>
            <w:r w:rsidRPr="00801C6D">
              <w:rPr>
                <w:rFonts w:ascii="Arial" w:hAnsi="Arial" w:cs="Arial"/>
                <w:sz w:val="18"/>
                <w:szCs w:val="18"/>
              </w:rPr>
              <w:t>6.0 mL</w:t>
            </w:r>
          </w:p>
        </w:tc>
        <w:tc>
          <w:tcPr>
            <w:tcW w:w="776" w:type="pct"/>
            <w:vAlign w:val="center"/>
          </w:tcPr>
          <w:p w14:paraId="0372D0F9" w14:textId="77777777" w:rsidR="00AE2A46" w:rsidRPr="00801C6D" w:rsidRDefault="00AE2A46" w:rsidP="00B46A29">
            <w:pPr>
              <w:jc w:val="center"/>
              <w:rPr>
                <w:rFonts w:ascii="Arial" w:hAnsi="Arial" w:cs="Arial"/>
                <w:sz w:val="18"/>
                <w:szCs w:val="18"/>
              </w:rPr>
            </w:pPr>
            <w:r w:rsidRPr="00801C6D">
              <w:rPr>
                <w:rFonts w:ascii="Arial" w:hAnsi="Arial" w:cs="Arial"/>
                <w:sz w:val="18"/>
                <w:szCs w:val="18"/>
              </w:rPr>
              <w:t>6.0 mL</w:t>
            </w:r>
          </w:p>
        </w:tc>
      </w:tr>
      <w:tr w:rsidR="00AE2A46" w:rsidRPr="00801C6D" w14:paraId="2014B07F" w14:textId="77777777" w:rsidTr="00B46A29">
        <w:trPr>
          <w:trHeight w:val="283"/>
          <w:jc w:val="center"/>
        </w:trPr>
        <w:tc>
          <w:tcPr>
            <w:tcW w:w="322" w:type="pct"/>
            <w:vAlign w:val="center"/>
          </w:tcPr>
          <w:p w14:paraId="12240DC1" w14:textId="77777777" w:rsidR="00AE2A46" w:rsidRPr="00801C6D" w:rsidRDefault="00AE2A46" w:rsidP="00B46A29">
            <w:pPr>
              <w:jc w:val="both"/>
              <w:rPr>
                <w:rFonts w:ascii="Arial" w:hAnsi="Arial" w:cs="Arial"/>
                <w:sz w:val="18"/>
                <w:szCs w:val="18"/>
              </w:rPr>
            </w:pPr>
            <w:r w:rsidRPr="00801C6D">
              <w:rPr>
                <w:rFonts w:ascii="Arial" w:hAnsi="Arial" w:cs="Arial"/>
                <w:sz w:val="18"/>
                <w:szCs w:val="18"/>
              </w:rPr>
              <w:t>7.</w:t>
            </w:r>
          </w:p>
        </w:tc>
        <w:tc>
          <w:tcPr>
            <w:tcW w:w="2340" w:type="pct"/>
            <w:vAlign w:val="center"/>
          </w:tcPr>
          <w:p w14:paraId="0C305E96" w14:textId="77777777" w:rsidR="00AE2A46" w:rsidRPr="00801C6D" w:rsidRDefault="00AE2A46" w:rsidP="00B46A29">
            <w:pPr>
              <w:jc w:val="both"/>
              <w:rPr>
                <w:rFonts w:ascii="Arial" w:hAnsi="Arial" w:cs="Arial"/>
                <w:sz w:val="18"/>
                <w:szCs w:val="18"/>
              </w:rPr>
            </w:pPr>
            <w:r w:rsidRPr="00801C6D">
              <w:rPr>
                <w:rFonts w:ascii="Arial" w:hAnsi="Arial" w:cs="Arial"/>
                <w:sz w:val="18"/>
                <w:szCs w:val="18"/>
              </w:rPr>
              <w:t>Carbopol</w:t>
            </w:r>
          </w:p>
        </w:tc>
        <w:tc>
          <w:tcPr>
            <w:tcW w:w="781" w:type="pct"/>
            <w:vAlign w:val="center"/>
          </w:tcPr>
          <w:p w14:paraId="36A9602F" w14:textId="77777777" w:rsidR="00AE2A46" w:rsidRPr="00801C6D" w:rsidRDefault="00AE2A46" w:rsidP="00B46A29">
            <w:pPr>
              <w:jc w:val="center"/>
              <w:rPr>
                <w:rFonts w:ascii="Arial" w:hAnsi="Arial" w:cs="Arial"/>
                <w:sz w:val="18"/>
                <w:szCs w:val="18"/>
              </w:rPr>
            </w:pPr>
            <w:r w:rsidRPr="00801C6D">
              <w:rPr>
                <w:rFonts w:ascii="Arial" w:hAnsi="Arial" w:cs="Arial"/>
                <w:sz w:val="18"/>
                <w:szCs w:val="18"/>
              </w:rPr>
              <w:t>0.5 g</w:t>
            </w:r>
          </w:p>
        </w:tc>
        <w:tc>
          <w:tcPr>
            <w:tcW w:w="781" w:type="pct"/>
            <w:vAlign w:val="center"/>
          </w:tcPr>
          <w:p w14:paraId="1ADBADB0" w14:textId="77777777" w:rsidR="00AE2A46" w:rsidRPr="00801C6D" w:rsidRDefault="00AE2A46" w:rsidP="00B46A29">
            <w:pPr>
              <w:jc w:val="center"/>
              <w:rPr>
                <w:rFonts w:ascii="Arial" w:hAnsi="Arial" w:cs="Arial"/>
                <w:sz w:val="18"/>
                <w:szCs w:val="18"/>
              </w:rPr>
            </w:pPr>
            <w:r w:rsidRPr="00801C6D">
              <w:rPr>
                <w:rFonts w:ascii="Arial" w:hAnsi="Arial" w:cs="Arial"/>
                <w:sz w:val="18"/>
                <w:szCs w:val="18"/>
              </w:rPr>
              <w:t>0.5 g</w:t>
            </w:r>
          </w:p>
        </w:tc>
        <w:tc>
          <w:tcPr>
            <w:tcW w:w="776" w:type="pct"/>
            <w:vAlign w:val="center"/>
          </w:tcPr>
          <w:p w14:paraId="78A2FEC4" w14:textId="77777777" w:rsidR="00AE2A46" w:rsidRPr="00801C6D" w:rsidRDefault="00AE2A46" w:rsidP="00B46A29">
            <w:pPr>
              <w:jc w:val="center"/>
              <w:rPr>
                <w:rFonts w:ascii="Arial" w:hAnsi="Arial" w:cs="Arial"/>
                <w:sz w:val="18"/>
                <w:szCs w:val="18"/>
              </w:rPr>
            </w:pPr>
            <w:r w:rsidRPr="00801C6D">
              <w:rPr>
                <w:rFonts w:ascii="Arial" w:hAnsi="Arial" w:cs="Arial"/>
                <w:sz w:val="18"/>
                <w:szCs w:val="18"/>
              </w:rPr>
              <w:t>0.5 g</w:t>
            </w:r>
          </w:p>
        </w:tc>
      </w:tr>
      <w:tr w:rsidR="00AE2A46" w:rsidRPr="00801C6D" w14:paraId="41EF730F" w14:textId="77777777" w:rsidTr="00B46A29">
        <w:trPr>
          <w:trHeight w:val="283"/>
          <w:jc w:val="center"/>
        </w:trPr>
        <w:tc>
          <w:tcPr>
            <w:tcW w:w="322" w:type="pct"/>
            <w:vAlign w:val="center"/>
          </w:tcPr>
          <w:p w14:paraId="54C3C563" w14:textId="77777777" w:rsidR="00AE2A46" w:rsidRPr="00801C6D" w:rsidRDefault="00AE2A46" w:rsidP="00B46A29">
            <w:pPr>
              <w:jc w:val="both"/>
              <w:rPr>
                <w:rFonts w:ascii="Arial" w:hAnsi="Arial" w:cs="Arial"/>
                <w:sz w:val="18"/>
                <w:szCs w:val="18"/>
              </w:rPr>
            </w:pPr>
            <w:r w:rsidRPr="00801C6D">
              <w:rPr>
                <w:rFonts w:ascii="Arial" w:hAnsi="Arial" w:cs="Arial"/>
                <w:sz w:val="18"/>
                <w:szCs w:val="18"/>
              </w:rPr>
              <w:t>8.</w:t>
            </w:r>
          </w:p>
        </w:tc>
        <w:tc>
          <w:tcPr>
            <w:tcW w:w="2340" w:type="pct"/>
            <w:vAlign w:val="center"/>
          </w:tcPr>
          <w:p w14:paraId="75784B37" w14:textId="77777777" w:rsidR="00AE2A46" w:rsidRPr="00801C6D" w:rsidRDefault="00AE2A46" w:rsidP="00B46A29">
            <w:pPr>
              <w:jc w:val="both"/>
              <w:rPr>
                <w:rFonts w:ascii="Arial" w:hAnsi="Arial" w:cs="Arial"/>
                <w:sz w:val="18"/>
                <w:szCs w:val="18"/>
              </w:rPr>
            </w:pPr>
            <w:r w:rsidRPr="00801C6D">
              <w:rPr>
                <w:rFonts w:ascii="Arial" w:hAnsi="Arial" w:cs="Arial"/>
                <w:sz w:val="18"/>
                <w:szCs w:val="18"/>
              </w:rPr>
              <w:t>Butyrospermum Parkii (Shea) Butter</w:t>
            </w:r>
          </w:p>
        </w:tc>
        <w:tc>
          <w:tcPr>
            <w:tcW w:w="781" w:type="pct"/>
            <w:vAlign w:val="center"/>
          </w:tcPr>
          <w:p w14:paraId="22EA7E89" w14:textId="77777777" w:rsidR="00AE2A46" w:rsidRPr="00801C6D" w:rsidRDefault="00AE2A46" w:rsidP="00B46A29">
            <w:pPr>
              <w:jc w:val="center"/>
              <w:rPr>
                <w:rFonts w:ascii="Arial" w:hAnsi="Arial" w:cs="Arial"/>
                <w:sz w:val="18"/>
                <w:szCs w:val="18"/>
              </w:rPr>
            </w:pPr>
            <w:r w:rsidRPr="00801C6D">
              <w:rPr>
                <w:rFonts w:ascii="Arial" w:hAnsi="Arial" w:cs="Arial"/>
                <w:sz w:val="18"/>
                <w:szCs w:val="18"/>
              </w:rPr>
              <w:t>1.0 g</w:t>
            </w:r>
          </w:p>
        </w:tc>
        <w:tc>
          <w:tcPr>
            <w:tcW w:w="781" w:type="pct"/>
            <w:vAlign w:val="center"/>
          </w:tcPr>
          <w:p w14:paraId="1905037F" w14:textId="77777777" w:rsidR="00AE2A46" w:rsidRPr="00801C6D" w:rsidRDefault="00AE2A46" w:rsidP="00B46A29">
            <w:pPr>
              <w:jc w:val="center"/>
              <w:rPr>
                <w:rFonts w:ascii="Arial" w:hAnsi="Arial" w:cs="Arial"/>
                <w:sz w:val="18"/>
                <w:szCs w:val="18"/>
              </w:rPr>
            </w:pPr>
            <w:r w:rsidRPr="00801C6D">
              <w:rPr>
                <w:rFonts w:ascii="Arial" w:hAnsi="Arial" w:cs="Arial"/>
                <w:sz w:val="18"/>
                <w:szCs w:val="18"/>
              </w:rPr>
              <w:t>1.0 g</w:t>
            </w:r>
          </w:p>
        </w:tc>
        <w:tc>
          <w:tcPr>
            <w:tcW w:w="776" w:type="pct"/>
            <w:vAlign w:val="center"/>
          </w:tcPr>
          <w:p w14:paraId="7063DBAD" w14:textId="77777777" w:rsidR="00AE2A46" w:rsidRPr="00801C6D" w:rsidRDefault="00AE2A46" w:rsidP="00B46A29">
            <w:pPr>
              <w:jc w:val="center"/>
              <w:rPr>
                <w:rFonts w:ascii="Arial" w:hAnsi="Arial" w:cs="Arial"/>
                <w:sz w:val="18"/>
                <w:szCs w:val="18"/>
              </w:rPr>
            </w:pPr>
            <w:r w:rsidRPr="00801C6D">
              <w:rPr>
                <w:rFonts w:ascii="Arial" w:hAnsi="Arial" w:cs="Arial"/>
                <w:sz w:val="18"/>
                <w:szCs w:val="18"/>
              </w:rPr>
              <w:t>1.0 g</w:t>
            </w:r>
          </w:p>
        </w:tc>
      </w:tr>
      <w:tr w:rsidR="00AE2A46" w:rsidRPr="00801C6D" w14:paraId="166DE5F7" w14:textId="77777777" w:rsidTr="00B46A29">
        <w:trPr>
          <w:trHeight w:val="283"/>
          <w:jc w:val="center"/>
        </w:trPr>
        <w:tc>
          <w:tcPr>
            <w:tcW w:w="322" w:type="pct"/>
            <w:vAlign w:val="center"/>
          </w:tcPr>
          <w:p w14:paraId="1A1DDFFE" w14:textId="77777777" w:rsidR="00AE2A46" w:rsidRPr="00801C6D" w:rsidRDefault="00AE2A46" w:rsidP="00B46A29">
            <w:pPr>
              <w:jc w:val="both"/>
              <w:rPr>
                <w:rFonts w:ascii="Arial" w:hAnsi="Arial" w:cs="Arial"/>
                <w:sz w:val="18"/>
                <w:szCs w:val="18"/>
              </w:rPr>
            </w:pPr>
            <w:r w:rsidRPr="00801C6D">
              <w:rPr>
                <w:rFonts w:ascii="Arial" w:hAnsi="Arial" w:cs="Arial"/>
                <w:sz w:val="18"/>
                <w:szCs w:val="18"/>
              </w:rPr>
              <w:t>9.</w:t>
            </w:r>
          </w:p>
        </w:tc>
        <w:tc>
          <w:tcPr>
            <w:tcW w:w="2340" w:type="pct"/>
            <w:vAlign w:val="center"/>
          </w:tcPr>
          <w:p w14:paraId="0726C913" w14:textId="77777777" w:rsidR="00AE2A46" w:rsidRPr="00801C6D" w:rsidRDefault="00AE2A46" w:rsidP="00B46A29">
            <w:pPr>
              <w:jc w:val="both"/>
              <w:rPr>
                <w:rFonts w:ascii="Arial" w:hAnsi="Arial" w:cs="Arial"/>
                <w:sz w:val="18"/>
                <w:szCs w:val="18"/>
              </w:rPr>
            </w:pPr>
            <w:r w:rsidRPr="00801C6D">
              <w:rPr>
                <w:rFonts w:ascii="Arial" w:hAnsi="Arial" w:cs="Arial"/>
                <w:sz w:val="18"/>
                <w:szCs w:val="18"/>
              </w:rPr>
              <w:t>Propylene glycol</w:t>
            </w:r>
          </w:p>
        </w:tc>
        <w:tc>
          <w:tcPr>
            <w:tcW w:w="781" w:type="pct"/>
            <w:vAlign w:val="center"/>
          </w:tcPr>
          <w:p w14:paraId="75FCA169" w14:textId="77777777" w:rsidR="00AE2A46" w:rsidRPr="00801C6D" w:rsidRDefault="00AE2A46" w:rsidP="00B46A29">
            <w:pPr>
              <w:jc w:val="center"/>
              <w:rPr>
                <w:rFonts w:ascii="Arial" w:hAnsi="Arial" w:cs="Arial"/>
                <w:sz w:val="18"/>
                <w:szCs w:val="18"/>
              </w:rPr>
            </w:pPr>
            <w:r w:rsidRPr="00801C6D">
              <w:rPr>
                <w:rFonts w:ascii="Arial" w:hAnsi="Arial" w:cs="Arial"/>
                <w:sz w:val="18"/>
                <w:szCs w:val="18"/>
              </w:rPr>
              <w:t>4.0 mL</w:t>
            </w:r>
          </w:p>
        </w:tc>
        <w:tc>
          <w:tcPr>
            <w:tcW w:w="781" w:type="pct"/>
            <w:vAlign w:val="center"/>
          </w:tcPr>
          <w:p w14:paraId="77C92C3B" w14:textId="77777777" w:rsidR="00AE2A46" w:rsidRPr="00801C6D" w:rsidRDefault="00AE2A46" w:rsidP="00B46A29">
            <w:pPr>
              <w:jc w:val="center"/>
              <w:rPr>
                <w:rFonts w:ascii="Arial" w:hAnsi="Arial" w:cs="Arial"/>
                <w:sz w:val="18"/>
                <w:szCs w:val="18"/>
              </w:rPr>
            </w:pPr>
            <w:r w:rsidRPr="00801C6D">
              <w:rPr>
                <w:rFonts w:ascii="Arial" w:hAnsi="Arial" w:cs="Arial"/>
                <w:sz w:val="18"/>
                <w:szCs w:val="18"/>
              </w:rPr>
              <w:t>4.0 mL</w:t>
            </w:r>
          </w:p>
        </w:tc>
        <w:tc>
          <w:tcPr>
            <w:tcW w:w="776" w:type="pct"/>
            <w:vAlign w:val="center"/>
          </w:tcPr>
          <w:p w14:paraId="7BB2D3A2" w14:textId="77777777" w:rsidR="00AE2A46" w:rsidRPr="00801C6D" w:rsidRDefault="00AE2A46" w:rsidP="00B46A29">
            <w:pPr>
              <w:jc w:val="center"/>
              <w:rPr>
                <w:rFonts w:ascii="Arial" w:hAnsi="Arial" w:cs="Arial"/>
                <w:sz w:val="18"/>
                <w:szCs w:val="18"/>
              </w:rPr>
            </w:pPr>
            <w:r w:rsidRPr="00801C6D">
              <w:rPr>
                <w:rFonts w:ascii="Arial" w:hAnsi="Arial" w:cs="Arial"/>
                <w:sz w:val="18"/>
                <w:szCs w:val="18"/>
              </w:rPr>
              <w:t>4.0 mL</w:t>
            </w:r>
          </w:p>
        </w:tc>
      </w:tr>
      <w:tr w:rsidR="00AE2A46" w:rsidRPr="00801C6D" w14:paraId="4D2C43BA" w14:textId="77777777" w:rsidTr="00B46A29">
        <w:trPr>
          <w:trHeight w:val="283"/>
          <w:jc w:val="center"/>
        </w:trPr>
        <w:tc>
          <w:tcPr>
            <w:tcW w:w="322" w:type="pct"/>
            <w:vAlign w:val="center"/>
          </w:tcPr>
          <w:p w14:paraId="111BEECE" w14:textId="77777777" w:rsidR="00AE2A46" w:rsidRPr="00801C6D" w:rsidRDefault="00AE2A46" w:rsidP="00B46A29">
            <w:pPr>
              <w:jc w:val="both"/>
              <w:rPr>
                <w:rFonts w:ascii="Arial" w:hAnsi="Arial" w:cs="Arial"/>
                <w:sz w:val="18"/>
                <w:szCs w:val="18"/>
              </w:rPr>
            </w:pPr>
            <w:r w:rsidRPr="00801C6D">
              <w:rPr>
                <w:rFonts w:ascii="Arial" w:hAnsi="Arial" w:cs="Arial"/>
                <w:sz w:val="18"/>
                <w:szCs w:val="18"/>
              </w:rPr>
              <w:t>10.</w:t>
            </w:r>
          </w:p>
        </w:tc>
        <w:tc>
          <w:tcPr>
            <w:tcW w:w="2340" w:type="pct"/>
            <w:vAlign w:val="center"/>
          </w:tcPr>
          <w:p w14:paraId="77A4FF8B" w14:textId="77777777" w:rsidR="00AE2A46" w:rsidRPr="00801C6D" w:rsidRDefault="00AE2A46" w:rsidP="00B46A29">
            <w:pPr>
              <w:jc w:val="both"/>
              <w:rPr>
                <w:rFonts w:ascii="Arial" w:hAnsi="Arial" w:cs="Arial"/>
                <w:sz w:val="18"/>
                <w:szCs w:val="18"/>
              </w:rPr>
            </w:pPr>
            <w:r w:rsidRPr="00801C6D">
              <w:rPr>
                <w:rFonts w:ascii="Arial" w:hAnsi="Arial" w:cs="Arial"/>
                <w:sz w:val="18"/>
                <w:szCs w:val="18"/>
              </w:rPr>
              <w:t>Preservatives (phenoxyethanol and ethylhexylglycerin)</w:t>
            </w:r>
          </w:p>
        </w:tc>
        <w:tc>
          <w:tcPr>
            <w:tcW w:w="781" w:type="pct"/>
            <w:vAlign w:val="center"/>
          </w:tcPr>
          <w:p w14:paraId="0FEC65DE" w14:textId="77777777" w:rsidR="00AE2A46" w:rsidRPr="00801C6D" w:rsidRDefault="00AE2A46" w:rsidP="00B46A29">
            <w:pPr>
              <w:jc w:val="center"/>
              <w:rPr>
                <w:rFonts w:ascii="Arial" w:hAnsi="Arial" w:cs="Arial"/>
                <w:sz w:val="18"/>
                <w:szCs w:val="18"/>
              </w:rPr>
            </w:pPr>
            <w:r w:rsidRPr="00801C6D">
              <w:rPr>
                <w:rFonts w:ascii="Arial" w:hAnsi="Arial" w:cs="Arial"/>
                <w:sz w:val="18"/>
                <w:szCs w:val="18"/>
              </w:rPr>
              <w:t>0.1 mL</w:t>
            </w:r>
          </w:p>
        </w:tc>
        <w:tc>
          <w:tcPr>
            <w:tcW w:w="781" w:type="pct"/>
            <w:vAlign w:val="center"/>
          </w:tcPr>
          <w:p w14:paraId="7B0CBE8D" w14:textId="77777777" w:rsidR="00AE2A46" w:rsidRPr="00801C6D" w:rsidRDefault="00AE2A46" w:rsidP="00B46A29">
            <w:pPr>
              <w:jc w:val="center"/>
              <w:rPr>
                <w:rFonts w:ascii="Arial" w:hAnsi="Arial" w:cs="Arial"/>
                <w:sz w:val="18"/>
                <w:szCs w:val="18"/>
              </w:rPr>
            </w:pPr>
            <w:r w:rsidRPr="00801C6D">
              <w:rPr>
                <w:rFonts w:ascii="Arial" w:hAnsi="Arial" w:cs="Arial"/>
                <w:sz w:val="18"/>
                <w:szCs w:val="18"/>
              </w:rPr>
              <w:t>0.1 mL</w:t>
            </w:r>
          </w:p>
        </w:tc>
        <w:tc>
          <w:tcPr>
            <w:tcW w:w="776" w:type="pct"/>
            <w:vAlign w:val="center"/>
          </w:tcPr>
          <w:p w14:paraId="32F71D50" w14:textId="77777777" w:rsidR="00AE2A46" w:rsidRPr="00801C6D" w:rsidRDefault="00AE2A46" w:rsidP="00B46A29">
            <w:pPr>
              <w:jc w:val="center"/>
              <w:rPr>
                <w:rFonts w:ascii="Arial" w:hAnsi="Arial" w:cs="Arial"/>
                <w:sz w:val="18"/>
                <w:szCs w:val="18"/>
              </w:rPr>
            </w:pPr>
            <w:r w:rsidRPr="00801C6D">
              <w:rPr>
                <w:rFonts w:ascii="Arial" w:hAnsi="Arial" w:cs="Arial"/>
                <w:sz w:val="18"/>
                <w:szCs w:val="18"/>
              </w:rPr>
              <w:t>0.1 mL</w:t>
            </w:r>
          </w:p>
        </w:tc>
      </w:tr>
      <w:tr w:rsidR="00AE2A46" w:rsidRPr="00801C6D" w14:paraId="639CDBBA" w14:textId="77777777" w:rsidTr="00B46A29">
        <w:trPr>
          <w:trHeight w:val="283"/>
          <w:jc w:val="center"/>
        </w:trPr>
        <w:tc>
          <w:tcPr>
            <w:tcW w:w="322" w:type="pct"/>
            <w:vAlign w:val="center"/>
          </w:tcPr>
          <w:p w14:paraId="362F2338" w14:textId="77777777" w:rsidR="00AE2A46" w:rsidRPr="00801C6D" w:rsidRDefault="00AE2A46" w:rsidP="00B46A29">
            <w:pPr>
              <w:jc w:val="both"/>
              <w:rPr>
                <w:rFonts w:ascii="Arial" w:hAnsi="Arial" w:cs="Arial"/>
                <w:sz w:val="18"/>
                <w:szCs w:val="18"/>
              </w:rPr>
            </w:pPr>
            <w:r w:rsidRPr="00801C6D">
              <w:rPr>
                <w:rFonts w:ascii="Arial" w:hAnsi="Arial" w:cs="Arial"/>
                <w:sz w:val="18"/>
                <w:szCs w:val="18"/>
              </w:rPr>
              <w:t>11.</w:t>
            </w:r>
          </w:p>
        </w:tc>
        <w:tc>
          <w:tcPr>
            <w:tcW w:w="2340" w:type="pct"/>
            <w:vAlign w:val="center"/>
          </w:tcPr>
          <w:p w14:paraId="4966DD5B" w14:textId="77777777" w:rsidR="00AE2A46" w:rsidRPr="00801C6D" w:rsidRDefault="00AE2A46" w:rsidP="00B46A29">
            <w:pPr>
              <w:jc w:val="both"/>
              <w:rPr>
                <w:rFonts w:ascii="Arial" w:hAnsi="Arial" w:cs="Arial"/>
                <w:sz w:val="18"/>
                <w:szCs w:val="18"/>
              </w:rPr>
            </w:pPr>
            <w:r w:rsidRPr="00801C6D">
              <w:rPr>
                <w:rFonts w:ascii="Arial" w:hAnsi="Arial" w:cs="Arial"/>
                <w:sz w:val="18"/>
                <w:szCs w:val="18"/>
              </w:rPr>
              <w:t>Triethanolamine</w:t>
            </w:r>
          </w:p>
        </w:tc>
        <w:tc>
          <w:tcPr>
            <w:tcW w:w="781" w:type="pct"/>
            <w:vAlign w:val="center"/>
          </w:tcPr>
          <w:p w14:paraId="0A46C6E0" w14:textId="77777777" w:rsidR="00AE2A46" w:rsidRPr="00801C6D" w:rsidRDefault="00AE2A46" w:rsidP="00B46A29">
            <w:pPr>
              <w:jc w:val="center"/>
              <w:rPr>
                <w:rFonts w:ascii="Arial" w:hAnsi="Arial" w:cs="Arial"/>
                <w:sz w:val="18"/>
                <w:szCs w:val="18"/>
              </w:rPr>
            </w:pPr>
            <w:r w:rsidRPr="00801C6D">
              <w:rPr>
                <w:rFonts w:ascii="Arial" w:hAnsi="Arial" w:cs="Arial"/>
                <w:sz w:val="18"/>
                <w:szCs w:val="18"/>
              </w:rPr>
              <w:t>0.3 mL</w:t>
            </w:r>
          </w:p>
        </w:tc>
        <w:tc>
          <w:tcPr>
            <w:tcW w:w="781" w:type="pct"/>
            <w:vAlign w:val="center"/>
          </w:tcPr>
          <w:p w14:paraId="5848388B" w14:textId="77777777" w:rsidR="00AE2A46" w:rsidRPr="00801C6D" w:rsidRDefault="00AE2A46" w:rsidP="00B46A29">
            <w:pPr>
              <w:jc w:val="center"/>
              <w:rPr>
                <w:rFonts w:ascii="Arial" w:hAnsi="Arial" w:cs="Arial"/>
                <w:sz w:val="18"/>
                <w:szCs w:val="18"/>
              </w:rPr>
            </w:pPr>
            <w:r w:rsidRPr="00801C6D">
              <w:rPr>
                <w:rFonts w:ascii="Arial" w:hAnsi="Arial" w:cs="Arial"/>
                <w:sz w:val="18"/>
                <w:szCs w:val="18"/>
              </w:rPr>
              <w:t>0.3 mL</w:t>
            </w:r>
          </w:p>
        </w:tc>
        <w:tc>
          <w:tcPr>
            <w:tcW w:w="776" w:type="pct"/>
            <w:vAlign w:val="center"/>
          </w:tcPr>
          <w:p w14:paraId="65AE1D09" w14:textId="77777777" w:rsidR="00AE2A46" w:rsidRPr="00801C6D" w:rsidRDefault="00AE2A46" w:rsidP="00B46A29">
            <w:pPr>
              <w:jc w:val="center"/>
              <w:rPr>
                <w:rFonts w:ascii="Arial" w:hAnsi="Arial" w:cs="Arial"/>
                <w:sz w:val="18"/>
                <w:szCs w:val="18"/>
              </w:rPr>
            </w:pPr>
            <w:r w:rsidRPr="00801C6D">
              <w:rPr>
                <w:rFonts w:ascii="Arial" w:hAnsi="Arial" w:cs="Arial"/>
                <w:sz w:val="18"/>
                <w:szCs w:val="18"/>
              </w:rPr>
              <w:t>0.3 mL</w:t>
            </w:r>
          </w:p>
        </w:tc>
      </w:tr>
      <w:tr w:rsidR="00AE2A46" w:rsidRPr="00801C6D" w14:paraId="0A45BBF2" w14:textId="77777777" w:rsidTr="00B46A29">
        <w:trPr>
          <w:trHeight w:val="283"/>
          <w:jc w:val="center"/>
        </w:trPr>
        <w:tc>
          <w:tcPr>
            <w:tcW w:w="322" w:type="pct"/>
            <w:vAlign w:val="center"/>
          </w:tcPr>
          <w:p w14:paraId="13A65945" w14:textId="77777777" w:rsidR="00AE2A46" w:rsidRPr="00801C6D" w:rsidRDefault="00AE2A46" w:rsidP="00B46A29">
            <w:pPr>
              <w:jc w:val="both"/>
              <w:rPr>
                <w:rFonts w:ascii="Arial" w:hAnsi="Arial" w:cs="Arial"/>
                <w:sz w:val="18"/>
                <w:szCs w:val="18"/>
              </w:rPr>
            </w:pPr>
            <w:r w:rsidRPr="00801C6D">
              <w:rPr>
                <w:rFonts w:ascii="Arial" w:hAnsi="Arial" w:cs="Arial"/>
                <w:sz w:val="18"/>
                <w:szCs w:val="18"/>
              </w:rPr>
              <w:t>12.</w:t>
            </w:r>
          </w:p>
        </w:tc>
        <w:tc>
          <w:tcPr>
            <w:tcW w:w="2340" w:type="pct"/>
            <w:vAlign w:val="center"/>
          </w:tcPr>
          <w:p w14:paraId="6FBB78B7" w14:textId="77777777" w:rsidR="00AE2A46" w:rsidRPr="00801C6D" w:rsidRDefault="00AE2A46" w:rsidP="00B46A29">
            <w:pPr>
              <w:jc w:val="both"/>
              <w:rPr>
                <w:rFonts w:ascii="Arial" w:hAnsi="Arial" w:cs="Arial"/>
                <w:sz w:val="18"/>
                <w:szCs w:val="18"/>
              </w:rPr>
            </w:pPr>
            <w:r w:rsidRPr="00801C6D">
              <w:rPr>
                <w:rFonts w:ascii="Arial" w:hAnsi="Arial" w:cs="Arial"/>
                <w:sz w:val="18"/>
                <w:szCs w:val="18"/>
              </w:rPr>
              <w:t>Honeydew fragrance</w:t>
            </w:r>
          </w:p>
        </w:tc>
        <w:tc>
          <w:tcPr>
            <w:tcW w:w="781" w:type="pct"/>
            <w:vAlign w:val="center"/>
          </w:tcPr>
          <w:p w14:paraId="0612FDB8" w14:textId="77777777" w:rsidR="00AE2A46" w:rsidRPr="00801C6D" w:rsidRDefault="00AE2A46" w:rsidP="00B46A29">
            <w:pPr>
              <w:jc w:val="center"/>
              <w:rPr>
                <w:rFonts w:ascii="Arial" w:hAnsi="Arial" w:cs="Arial"/>
                <w:sz w:val="18"/>
                <w:szCs w:val="18"/>
              </w:rPr>
            </w:pPr>
            <w:proofErr w:type="gramStart"/>
            <w:r w:rsidRPr="00801C6D">
              <w:rPr>
                <w:rFonts w:ascii="Arial" w:hAnsi="Arial" w:cs="Arial"/>
                <w:sz w:val="18"/>
                <w:szCs w:val="18"/>
              </w:rPr>
              <w:t>q.s</w:t>
            </w:r>
            <w:proofErr w:type="gramEnd"/>
          </w:p>
        </w:tc>
        <w:tc>
          <w:tcPr>
            <w:tcW w:w="781" w:type="pct"/>
            <w:vAlign w:val="center"/>
          </w:tcPr>
          <w:p w14:paraId="219C2B6D" w14:textId="77777777" w:rsidR="00AE2A46" w:rsidRPr="00801C6D" w:rsidRDefault="00AE2A46" w:rsidP="00B46A29">
            <w:pPr>
              <w:jc w:val="center"/>
              <w:rPr>
                <w:rFonts w:ascii="Arial" w:hAnsi="Arial" w:cs="Arial"/>
                <w:sz w:val="18"/>
                <w:szCs w:val="18"/>
              </w:rPr>
            </w:pPr>
            <w:proofErr w:type="gramStart"/>
            <w:r w:rsidRPr="00801C6D">
              <w:rPr>
                <w:rFonts w:ascii="Arial" w:hAnsi="Arial" w:cs="Arial"/>
                <w:sz w:val="18"/>
                <w:szCs w:val="18"/>
              </w:rPr>
              <w:t>q.s</w:t>
            </w:r>
            <w:proofErr w:type="gramEnd"/>
          </w:p>
        </w:tc>
        <w:tc>
          <w:tcPr>
            <w:tcW w:w="776" w:type="pct"/>
            <w:vAlign w:val="center"/>
          </w:tcPr>
          <w:p w14:paraId="7F3AB52F" w14:textId="77777777" w:rsidR="00AE2A46" w:rsidRPr="00801C6D" w:rsidRDefault="00AE2A46" w:rsidP="00B46A29">
            <w:pPr>
              <w:jc w:val="center"/>
              <w:rPr>
                <w:rFonts w:ascii="Arial" w:hAnsi="Arial" w:cs="Arial"/>
                <w:sz w:val="18"/>
                <w:szCs w:val="18"/>
              </w:rPr>
            </w:pPr>
            <w:proofErr w:type="gramStart"/>
            <w:r w:rsidRPr="00801C6D">
              <w:rPr>
                <w:rFonts w:ascii="Arial" w:hAnsi="Arial" w:cs="Arial"/>
                <w:sz w:val="18"/>
                <w:szCs w:val="18"/>
              </w:rPr>
              <w:t>q.s</w:t>
            </w:r>
            <w:proofErr w:type="gramEnd"/>
          </w:p>
        </w:tc>
      </w:tr>
      <w:tr w:rsidR="00AE2A46" w:rsidRPr="00801C6D" w14:paraId="103B4C6B" w14:textId="77777777" w:rsidTr="00B46A29">
        <w:trPr>
          <w:trHeight w:val="283"/>
          <w:jc w:val="center"/>
        </w:trPr>
        <w:tc>
          <w:tcPr>
            <w:tcW w:w="322" w:type="pct"/>
            <w:vAlign w:val="center"/>
          </w:tcPr>
          <w:p w14:paraId="3047EDBC" w14:textId="77777777" w:rsidR="00AE2A46" w:rsidRPr="00801C6D" w:rsidRDefault="00AE2A46" w:rsidP="00B46A29">
            <w:pPr>
              <w:jc w:val="both"/>
              <w:rPr>
                <w:rFonts w:ascii="Arial" w:hAnsi="Arial" w:cs="Arial"/>
                <w:sz w:val="18"/>
                <w:szCs w:val="18"/>
              </w:rPr>
            </w:pPr>
            <w:r w:rsidRPr="00801C6D">
              <w:rPr>
                <w:rFonts w:ascii="Arial" w:hAnsi="Arial" w:cs="Arial"/>
                <w:sz w:val="18"/>
                <w:szCs w:val="18"/>
              </w:rPr>
              <w:t>13.</w:t>
            </w:r>
          </w:p>
        </w:tc>
        <w:tc>
          <w:tcPr>
            <w:tcW w:w="2340" w:type="pct"/>
            <w:vAlign w:val="center"/>
          </w:tcPr>
          <w:p w14:paraId="52780F53" w14:textId="77777777" w:rsidR="00AE2A46" w:rsidRPr="00801C6D" w:rsidRDefault="00AE2A46" w:rsidP="00B46A29">
            <w:pPr>
              <w:jc w:val="both"/>
              <w:rPr>
                <w:rFonts w:ascii="Arial" w:hAnsi="Arial" w:cs="Arial"/>
                <w:sz w:val="18"/>
                <w:szCs w:val="18"/>
              </w:rPr>
            </w:pPr>
            <w:r w:rsidRPr="00801C6D">
              <w:rPr>
                <w:rFonts w:ascii="Arial" w:hAnsi="Arial" w:cs="Arial"/>
                <w:sz w:val="18"/>
                <w:szCs w:val="18"/>
              </w:rPr>
              <w:t>Distilled water q.s to (mL)</w:t>
            </w:r>
          </w:p>
        </w:tc>
        <w:tc>
          <w:tcPr>
            <w:tcW w:w="781" w:type="pct"/>
            <w:vAlign w:val="center"/>
          </w:tcPr>
          <w:p w14:paraId="62F0CEAC" w14:textId="77777777" w:rsidR="00AE2A46" w:rsidRPr="00801C6D" w:rsidRDefault="00AE2A46" w:rsidP="00B46A29">
            <w:pPr>
              <w:jc w:val="center"/>
              <w:rPr>
                <w:rFonts w:ascii="Arial" w:hAnsi="Arial" w:cs="Arial"/>
                <w:sz w:val="18"/>
                <w:szCs w:val="18"/>
              </w:rPr>
            </w:pPr>
            <w:r w:rsidRPr="00801C6D">
              <w:rPr>
                <w:rFonts w:ascii="Arial" w:hAnsi="Arial" w:cs="Arial"/>
                <w:sz w:val="18"/>
                <w:szCs w:val="18"/>
              </w:rPr>
              <w:t>Up to 100</w:t>
            </w:r>
          </w:p>
        </w:tc>
        <w:tc>
          <w:tcPr>
            <w:tcW w:w="781" w:type="pct"/>
            <w:vAlign w:val="center"/>
          </w:tcPr>
          <w:p w14:paraId="4B358F6D" w14:textId="77777777" w:rsidR="00AE2A46" w:rsidRPr="00801C6D" w:rsidRDefault="00AE2A46" w:rsidP="00B46A29">
            <w:pPr>
              <w:jc w:val="center"/>
              <w:rPr>
                <w:rFonts w:ascii="Arial" w:hAnsi="Arial" w:cs="Arial"/>
                <w:sz w:val="18"/>
                <w:szCs w:val="18"/>
              </w:rPr>
            </w:pPr>
            <w:r w:rsidRPr="00801C6D">
              <w:rPr>
                <w:rFonts w:ascii="Arial" w:hAnsi="Arial" w:cs="Arial"/>
                <w:sz w:val="18"/>
                <w:szCs w:val="18"/>
              </w:rPr>
              <w:t>Up to 100</w:t>
            </w:r>
          </w:p>
        </w:tc>
        <w:tc>
          <w:tcPr>
            <w:tcW w:w="776" w:type="pct"/>
            <w:vAlign w:val="center"/>
          </w:tcPr>
          <w:p w14:paraId="60CC1480" w14:textId="77777777" w:rsidR="00AE2A46" w:rsidRPr="00801C6D" w:rsidRDefault="00AE2A46" w:rsidP="00B46A29">
            <w:pPr>
              <w:jc w:val="center"/>
              <w:rPr>
                <w:rFonts w:ascii="Arial" w:hAnsi="Arial" w:cs="Arial"/>
                <w:sz w:val="18"/>
                <w:szCs w:val="18"/>
              </w:rPr>
            </w:pPr>
            <w:r w:rsidRPr="00801C6D">
              <w:rPr>
                <w:rFonts w:ascii="Arial" w:hAnsi="Arial" w:cs="Arial"/>
                <w:sz w:val="18"/>
                <w:szCs w:val="18"/>
              </w:rPr>
              <w:t>Up to 100</w:t>
            </w:r>
          </w:p>
        </w:tc>
      </w:tr>
    </w:tbl>
    <w:p w14:paraId="4DEF5726" w14:textId="77777777" w:rsidR="00AE2A46" w:rsidRPr="00801C6D" w:rsidRDefault="00AE2A46" w:rsidP="00AE2A46">
      <w:pPr>
        <w:jc w:val="both"/>
        <w:rPr>
          <w:rFonts w:ascii="Arial" w:hAnsi="Arial" w:cs="Arial"/>
          <w:i/>
          <w:iCs/>
          <w:sz w:val="18"/>
          <w:szCs w:val="18"/>
        </w:rPr>
      </w:pPr>
      <w:r w:rsidRPr="00801C6D">
        <w:rPr>
          <w:rFonts w:ascii="Arial" w:hAnsi="Arial" w:cs="Arial"/>
          <w:i/>
          <w:iCs/>
          <w:sz w:val="18"/>
          <w:szCs w:val="18"/>
        </w:rPr>
        <w:t xml:space="preserve">Values = n, n ± SD (SD = standard deviation). Vary significant should have a p-value &lt; 0.05. </w:t>
      </w:r>
    </w:p>
    <w:p w14:paraId="71EF2212" w14:textId="77777777" w:rsidR="00AE2A46" w:rsidRPr="00801C6D" w:rsidRDefault="00AE2A46" w:rsidP="00AE2A46">
      <w:pPr>
        <w:jc w:val="both"/>
        <w:rPr>
          <w:rFonts w:ascii="Arial" w:hAnsi="Arial" w:cs="Arial"/>
          <w:i/>
          <w:iCs/>
          <w:sz w:val="20"/>
          <w:szCs w:val="20"/>
        </w:rPr>
      </w:pPr>
    </w:p>
    <w:p w14:paraId="7DFB0180" w14:textId="77777777" w:rsidR="00AE2A46" w:rsidRPr="00DE4084" w:rsidRDefault="00AE2A46" w:rsidP="00AE2A46">
      <w:pPr>
        <w:spacing w:after="120" w:line="276" w:lineRule="auto"/>
        <w:jc w:val="both"/>
        <w:rPr>
          <w:rFonts w:ascii="Arial" w:hAnsi="Arial" w:cs="Arial"/>
          <w:i/>
          <w:iCs/>
          <w:sz w:val="20"/>
          <w:szCs w:val="20"/>
        </w:rPr>
      </w:pPr>
      <w:r w:rsidRPr="00DE4084">
        <w:rPr>
          <w:rFonts w:ascii="Arial" w:hAnsi="Arial" w:cs="Arial"/>
          <w:i/>
          <w:iCs/>
          <w:sz w:val="20"/>
          <w:szCs w:val="20"/>
        </w:rPr>
        <w:t>Physicochemical Properties of Anti-Acne Moisturizer</w:t>
      </w:r>
    </w:p>
    <w:p w14:paraId="21757A2C" w14:textId="77777777" w:rsidR="00AE2A46" w:rsidRPr="00DE4084" w:rsidRDefault="00AE2A46" w:rsidP="00AE2A46">
      <w:pPr>
        <w:spacing w:after="120" w:line="276" w:lineRule="auto"/>
        <w:jc w:val="both"/>
        <w:rPr>
          <w:rFonts w:ascii="Arial" w:hAnsi="Arial" w:cs="Arial"/>
          <w:sz w:val="20"/>
          <w:szCs w:val="20"/>
        </w:rPr>
      </w:pPr>
      <w:r w:rsidRPr="00DE4084">
        <w:rPr>
          <w:rFonts w:ascii="Arial" w:hAnsi="Arial" w:cs="Arial"/>
          <w:sz w:val="20"/>
          <w:szCs w:val="20"/>
        </w:rPr>
        <w:t>The physicochemical properties of the moisturizer were determined, including pH, a centrifugation test to assess its stability, a spreadability test, a dilution test, and a sensitivity test. The loss on drying (LOD) was determined, along with washability, organoleptic, homogeneity, rheology, viscosity, and microscopic tests (Deuschle et al., 2015; Dantas et al., 2016; Gyawali et al., 2020; Mohamed et al., 2020).  The spreadability test was conducted using a square glass slide that had been prepared and marked with a circle of 1 cm diameter using a marker pen. A load weight of 500 g was prepared for use in this spreadability test. Then, 1 g of sample weight was measured using a weighing balance. The sample formulation has been placed on the circle marked on the glass slide. Next, place the empty petri dish on top of the sample and add the prepared load. A 5-minute time was set for the load to be placed on the petri dish. After 5 minutes, readings were taken of the diameters of all formulations that had been spread to form a circle on the petri dish. The spread was evaluated using a ruler on three sides. The spreadability factor was calculated using Eq. (1) (Mohamed et al., 2020).</w:t>
      </w:r>
    </w:p>
    <w:p w14:paraId="32DCA867" w14:textId="77777777" w:rsidR="00AE2A46" w:rsidRPr="00801C6D" w:rsidRDefault="00AE2A46" w:rsidP="00AE2A46">
      <w:pPr>
        <w:spacing w:after="120"/>
        <w:jc w:val="center"/>
        <w:rPr>
          <w:rFonts w:ascii="Arial" w:hAnsi="Arial" w:cs="Arial"/>
          <w:sz w:val="20"/>
          <w:szCs w:val="20"/>
        </w:rPr>
      </w:pPr>
      <w:r w:rsidRPr="00801C6D">
        <w:rPr>
          <w:rFonts w:ascii="Arial" w:hAnsi="Arial" w:cs="Arial"/>
          <w:sz w:val="20"/>
          <w:szCs w:val="20"/>
        </w:rPr>
        <w:t>Where: Sf = Spreadability factor, A = Total area (in mm2), W = Total weight (g).</w:t>
      </w:r>
    </w:p>
    <w:p w14:paraId="563536A8" w14:textId="77777777" w:rsidR="00AE2A46" w:rsidRPr="00801C6D" w:rsidRDefault="00AE2A46" w:rsidP="00AE2A46">
      <w:pPr>
        <w:spacing w:after="120"/>
        <w:jc w:val="center"/>
        <w:rPr>
          <w:rFonts w:ascii="Arial" w:hAnsi="Arial" w:cs="Arial"/>
          <w:sz w:val="20"/>
          <w:szCs w:val="20"/>
        </w:rPr>
      </w:pPr>
      <w:r w:rsidRPr="00801C6D">
        <w:rPr>
          <w:rFonts w:ascii="Arial" w:hAnsi="Arial" w:cs="Arial"/>
          <w:noProof/>
          <w:sz w:val="20"/>
          <w:szCs w:val="20"/>
        </w:rPr>
        <w:drawing>
          <wp:inline distT="0" distB="0" distL="0" distR="0" wp14:anchorId="6F94747B" wp14:editId="2D458B18">
            <wp:extent cx="581025" cy="361950"/>
            <wp:effectExtent l="0" t="0" r="9525" b="0"/>
            <wp:docPr id="1570550149"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70550149" name="Picture 2"/>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a:xfrm>
                      <a:off x="0" y="0"/>
                      <a:ext cx="581025" cy="361950"/>
                    </a:xfrm>
                    <a:prstGeom prst="rect">
                      <a:avLst/>
                    </a:prstGeom>
                    <a:noFill/>
                    <a:ln>
                      <a:noFill/>
                    </a:ln>
                  </pic:spPr>
                </pic:pic>
              </a:graphicData>
            </a:graphic>
          </wp:inline>
        </w:drawing>
      </w:r>
      <w:proofErr w:type="gramStart"/>
      <w:r w:rsidRPr="00801C6D">
        <w:rPr>
          <w:rFonts w:ascii="Arial" w:hAnsi="Arial" w:cs="Arial"/>
          <w:sz w:val="20"/>
          <w:szCs w:val="20"/>
        </w:rPr>
        <w:t>Eq.(</w:t>
      </w:r>
      <w:proofErr w:type="gramEnd"/>
      <w:r w:rsidRPr="00801C6D">
        <w:rPr>
          <w:rFonts w:ascii="Arial" w:hAnsi="Arial" w:cs="Arial"/>
          <w:sz w:val="20"/>
          <w:szCs w:val="20"/>
        </w:rPr>
        <w:t>1)</w:t>
      </w:r>
    </w:p>
    <w:p w14:paraId="527EB08F" w14:textId="77777777" w:rsidR="00AE2A46" w:rsidRPr="00801C6D" w:rsidRDefault="00AE2A46" w:rsidP="00AE2A46">
      <w:pPr>
        <w:spacing w:after="120" w:line="276" w:lineRule="auto"/>
        <w:jc w:val="both"/>
        <w:rPr>
          <w:rFonts w:ascii="Arial" w:hAnsi="Arial" w:cs="Arial"/>
          <w:i/>
          <w:iCs/>
          <w:sz w:val="20"/>
          <w:szCs w:val="20"/>
        </w:rPr>
      </w:pPr>
      <w:r w:rsidRPr="00801C6D">
        <w:rPr>
          <w:rFonts w:ascii="Arial" w:hAnsi="Arial" w:cs="Arial"/>
          <w:i/>
          <w:iCs/>
          <w:sz w:val="20"/>
          <w:szCs w:val="20"/>
        </w:rPr>
        <w:t>Stability test</w:t>
      </w:r>
    </w:p>
    <w:p w14:paraId="61483C82" w14:textId="77777777" w:rsidR="00AE2A46" w:rsidRPr="00801C6D" w:rsidRDefault="00AE2A46" w:rsidP="00AE2A46">
      <w:pPr>
        <w:spacing w:after="120" w:line="276" w:lineRule="auto"/>
        <w:jc w:val="both"/>
        <w:rPr>
          <w:rFonts w:ascii="Arial" w:hAnsi="Arial" w:cs="Arial"/>
          <w:sz w:val="20"/>
          <w:szCs w:val="20"/>
        </w:rPr>
      </w:pPr>
      <w:r w:rsidRPr="00C83771">
        <w:rPr>
          <w:rFonts w:ascii="Arial" w:hAnsi="Arial" w:cs="Arial"/>
          <w:sz w:val="20"/>
          <w:szCs w:val="20"/>
        </w:rPr>
        <w:t xml:space="preserve">The stability test is a crucial part of emulsion preparation, ensuring product stability and sustainability in both the short and long term at various temperatures during storage. Therefore, long-term stability test was conducted at temperatures of 8°C ± 2°C, 25°C ± 2°C, and 40°C ± 2°C. At various intervals throughout 28 days, colour, phase separation, and emulsion liquefaction were observed, followed by a cycling test in which the physicochemical stability of the cream formulation was examined through six cooling-heating cycles. In every cycle, cream samples were refrigerated for 24 hours, followed by incubation at 45°C for an additional 24 hours (Buranasukhon </w:t>
      </w:r>
      <w:r w:rsidRPr="00C83771">
        <w:rPr>
          <w:rFonts w:ascii="Arial" w:hAnsi="Arial" w:cs="Arial"/>
          <w:i/>
          <w:iCs/>
          <w:sz w:val="20"/>
          <w:szCs w:val="20"/>
        </w:rPr>
        <w:t>et al</w:t>
      </w:r>
      <w:r w:rsidRPr="00C83771">
        <w:rPr>
          <w:rFonts w:ascii="Arial" w:hAnsi="Arial" w:cs="Arial"/>
          <w:sz w:val="20"/>
          <w:szCs w:val="20"/>
        </w:rPr>
        <w:t xml:space="preserve">., 2017; Smaoui </w:t>
      </w:r>
      <w:r w:rsidRPr="00C83771">
        <w:rPr>
          <w:rFonts w:ascii="Arial" w:hAnsi="Arial" w:cs="Arial"/>
          <w:i/>
          <w:iCs/>
          <w:sz w:val="20"/>
          <w:szCs w:val="20"/>
        </w:rPr>
        <w:t>et al</w:t>
      </w:r>
      <w:r w:rsidRPr="00C83771">
        <w:rPr>
          <w:rFonts w:ascii="Arial" w:hAnsi="Arial" w:cs="Arial"/>
          <w:sz w:val="20"/>
          <w:szCs w:val="20"/>
        </w:rPr>
        <w:t>., 2017).</w:t>
      </w:r>
    </w:p>
    <w:p w14:paraId="2B4629E9" w14:textId="77777777" w:rsidR="00AE2A46" w:rsidRPr="00C83771" w:rsidRDefault="00AE2A46" w:rsidP="00AE2A46">
      <w:pPr>
        <w:spacing w:after="120" w:line="276" w:lineRule="auto"/>
        <w:jc w:val="both"/>
        <w:rPr>
          <w:rFonts w:ascii="Arial" w:hAnsi="Arial" w:cs="Arial"/>
          <w:i/>
          <w:iCs/>
          <w:sz w:val="20"/>
          <w:szCs w:val="20"/>
        </w:rPr>
      </w:pPr>
      <w:bookmarkStart w:id="0" w:name="_Hlk163219344"/>
      <w:r w:rsidRPr="00801C6D">
        <w:rPr>
          <w:rFonts w:ascii="Arial" w:hAnsi="Arial" w:cs="Arial"/>
          <w:i/>
          <w:iCs/>
          <w:sz w:val="20"/>
          <w:szCs w:val="20"/>
        </w:rPr>
        <w:t xml:space="preserve">Fourier transform </w:t>
      </w:r>
      <w:r w:rsidRPr="00C83771">
        <w:rPr>
          <w:rFonts w:ascii="Arial" w:hAnsi="Arial" w:cs="Arial"/>
          <w:i/>
          <w:iCs/>
          <w:sz w:val="20"/>
          <w:szCs w:val="20"/>
        </w:rPr>
        <w:t>infrared (FTIR) spectrum test.</w:t>
      </w:r>
    </w:p>
    <w:bookmarkEnd w:id="0"/>
    <w:p w14:paraId="3DC28B96" w14:textId="77777777" w:rsidR="00AE2A46" w:rsidRPr="00801C6D" w:rsidRDefault="00AE2A46" w:rsidP="00AE2A46">
      <w:pPr>
        <w:spacing w:after="120" w:line="276" w:lineRule="auto"/>
        <w:jc w:val="both"/>
        <w:rPr>
          <w:rFonts w:ascii="Arial" w:hAnsi="Arial" w:cs="Arial"/>
          <w:sz w:val="20"/>
          <w:szCs w:val="20"/>
        </w:rPr>
      </w:pPr>
      <w:r w:rsidRPr="00C83771">
        <w:rPr>
          <w:rFonts w:ascii="Arial" w:hAnsi="Arial" w:cs="Arial"/>
          <w:sz w:val="20"/>
          <w:szCs w:val="20"/>
        </w:rPr>
        <w:t xml:space="preserve">The sample was placed on the reflection diamond, and its infrared spectra were recorded. The scan range used is 400 cm-1 to 4000 cm-1 with a resolution of 4 cm-1. Each resulting peak indicates the presence of a functional group in the formulation (Li </w:t>
      </w:r>
      <w:r w:rsidRPr="00C83771">
        <w:rPr>
          <w:rFonts w:ascii="Arial" w:hAnsi="Arial" w:cs="Arial"/>
          <w:i/>
          <w:iCs/>
          <w:sz w:val="20"/>
          <w:szCs w:val="20"/>
        </w:rPr>
        <w:t>et al</w:t>
      </w:r>
      <w:r w:rsidRPr="00C83771">
        <w:rPr>
          <w:rFonts w:ascii="Arial" w:hAnsi="Arial" w:cs="Arial"/>
          <w:sz w:val="20"/>
          <w:szCs w:val="20"/>
        </w:rPr>
        <w:t>., 2024).</w:t>
      </w:r>
    </w:p>
    <w:p w14:paraId="6E2E55FD" w14:textId="77777777" w:rsidR="00765648" w:rsidRDefault="00765648" w:rsidP="00AE2A46">
      <w:pPr>
        <w:spacing w:after="120" w:line="276" w:lineRule="auto"/>
        <w:jc w:val="both"/>
        <w:rPr>
          <w:rFonts w:ascii="Arial" w:hAnsi="Arial" w:cs="Arial"/>
          <w:i/>
          <w:iCs/>
          <w:sz w:val="20"/>
          <w:szCs w:val="20"/>
        </w:rPr>
      </w:pPr>
    </w:p>
    <w:p w14:paraId="6B71DF51" w14:textId="0657B7AF" w:rsidR="00AE2A46" w:rsidRPr="00801C6D" w:rsidRDefault="00AE2A46" w:rsidP="00AE2A46">
      <w:pPr>
        <w:spacing w:after="120" w:line="276" w:lineRule="auto"/>
        <w:jc w:val="both"/>
        <w:rPr>
          <w:rFonts w:ascii="Arial" w:hAnsi="Arial" w:cs="Arial"/>
          <w:i/>
          <w:iCs/>
          <w:sz w:val="20"/>
          <w:szCs w:val="20"/>
        </w:rPr>
      </w:pPr>
      <w:r w:rsidRPr="00801C6D">
        <w:rPr>
          <w:rFonts w:ascii="Arial" w:hAnsi="Arial" w:cs="Arial"/>
          <w:i/>
          <w:iCs/>
          <w:sz w:val="20"/>
          <w:szCs w:val="20"/>
        </w:rPr>
        <w:lastRenderedPageBreak/>
        <w:t>Antibacterial activity</w:t>
      </w:r>
    </w:p>
    <w:p w14:paraId="0A9120DD" w14:textId="77777777" w:rsidR="00AE2A46" w:rsidRDefault="00AE2A46" w:rsidP="007B734B">
      <w:pPr>
        <w:spacing w:line="276" w:lineRule="auto"/>
        <w:jc w:val="both"/>
        <w:rPr>
          <w:rFonts w:ascii="Arial" w:hAnsi="Arial" w:cs="Arial"/>
          <w:sz w:val="20"/>
          <w:szCs w:val="20"/>
        </w:rPr>
      </w:pPr>
      <w:r w:rsidRPr="00801C6D">
        <w:rPr>
          <w:rFonts w:ascii="Arial" w:hAnsi="Arial" w:cs="Arial"/>
          <w:sz w:val="20"/>
          <w:szCs w:val="20"/>
        </w:rPr>
        <w:t>The antibacte</w:t>
      </w:r>
      <w:r w:rsidRPr="00C83771">
        <w:rPr>
          <w:rFonts w:ascii="Arial" w:hAnsi="Arial" w:cs="Arial"/>
          <w:sz w:val="20"/>
          <w:szCs w:val="20"/>
        </w:rPr>
        <w:t xml:space="preserve">rial activity of the cream emulsion was evaluated using the agar well diffusion method. </w:t>
      </w:r>
      <w:r w:rsidRPr="00F131FF">
        <w:rPr>
          <w:rFonts w:ascii="Arial" w:hAnsi="Arial" w:cs="Arial"/>
          <w:i/>
          <w:iCs/>
          <w:sz w:val="20"/>
          <w:szCs w:val="20"/>
        </w:rPr>
        <w:t>S. epidermidis</w:t>
      </w:r>
      <w:r w:rsidRPr="00C83771">
        <w:rPr>
          <w:rFonts w:ascii="Arial" w:hAnsi="Arial" w:cs="Arial"/>
          <w:sz w:val="20"/>
          <w:szCs w:val="20"/>
        </w:rPr>
        <w:t xml:space="preserve"> was cultured on nutrient agar and standardized to 1 × 10⁸ CFU/mL, corresponding to a 0.5 McFarland standard. The bacterial suspension was prepared from a fresh 24-hour culture and visually adjusted to match the McFarland turbidity tube. To validate the actual bacterial concentration, a serial dilution followed by spread plating was performed on nutrient agar. Colony counts after incubation confirmed that the suspension fell within the acceptable range of 10⁷–10⁸ CFU/mL. Nutrient agar was prepared by dissolving 28 g of agar in 1,000 mL of distilled water, sterilized by autoclaving, and then poured into petri dishes. After solidification, each plate was inoculated with 100 µL of the standardized bacterial suspension and evenly spread using sterile cotton swabs. Wells were created using a 1000 µL micropipette tip, and each plate was divided into three sections: a positive control (gentamicin at 4 µg/mL), a negative control (base formulation without active oils), and the test formulation (cream containing active ingredients at 5 mg/mL). All controls and test samples were introduced into their respective wells, and the plates were incubated at 40°C for 24 hours to observe zones of inhibition. All tests were performed in triplicate to ensure reproducibility (Chen </w:t>
      </w:r>
      <w:r w:rsidRPr="00C83771">
        <w:rPr>
          <w:rFonts w:ascii="Arial" w:hAnsi="Arial" w:cs="Arial"/>
          <w:i/>
          <w:iCs/>
          <w:sz w:val="20"/>
          <w:szCs w:val="20"/>
        </w:rPr>
        <w:t>et al</w:t>
      </w:r>
      <w:r w:rsidRPr="00C83771">
        <w:rPr>
          <w:rFonts w:ascii="Arial" w:hAnsi="Arial" w:cs="Arial"/>
          <w:sz w:val="20"/>
          <w:szCs w:val="20"/>
        </w:rPr>
        <w:t xml:space="preserve">., 2016; Vora </w:t>
      </w:r>
      <w:r w:rsidRPr="00C83771">
        <w:rPr>
          <w:rFonts w:ascii="Arial" w:hAnsi="Arial" w:cs="Arial"/>
          <w:i/>
          <w:iCs/>
          <w:sz w:val="20"/>
          <w:szCs w:val="20"/>
        </w:rPr>
        <w:t>et al</w:t>
      </w:r>
      <w:r w:rsidRPr="00C83771">
        <w:rPr>
          <w:rFonts w:ascii="Arial" w:hAnsi="Arial" w:cs="Arial"/>
          <w:sz w:val="20"/>
          <w:szCs w:val="20"/>
        </w:rPr>
        <w:t xml:space="preserve">., 2018; Ramdas </w:t>
      </w:r>
      <w:r w:rsidRPr="00C83771">
        <w:rPr>
          <w:rFonts w:ascii="Arial" w:hAnsi="Arial" w:cs="Arial"/>
          <w:i/>
          <w:iCs/>
          <w:sz w:val="20"/>
          <w:szCs w:val="20"/>
        </w:rPr>
        <w:t>et al</w:t>
      </w:r>
      <w:r w:rsidRPr="00C83771">
        <w:rPr>
          <w:rFonts w:ascii="Arial" w:hAnsi="Arial" w:cs="Arial"/>
          <w:sz w:val="20"/>
          <w:szCs w:val="20"/>
        </w:rPr>
        <w:t xml:space="preserve">., 2022; Wahyuningrum </w:t>
      </w:r>
      <w:r w:rsidRPr="00C83771">
        <w:rPr>
          <w:rFonts w:ascii="Arial" w:hAnsi="Arial" w:cs="Arial"/>
          <w:i/>
          <w:iCs/>
          <w:sz w:val="20"/>
          <w:szCs w:val="20"/>
        </w:rPr>
        <w:t>et al</w:t>
      </w:r>
      <w:r w:rsidRPr="00C83771">
        <w:rPr>
          <w:rFonts w:ascii="Arial" w:hAnsi="Arial" w:cs="Arial"/>
          <w:sz w:val="20"/>
          <w:szCs w:val="20"/>
        </w:rPr>
        <w:t>., 2023).</w:t>
      </w:r>
    </w:p>
    <w:p w14:paraId="4FBE23BB" w14:textId="77777777" w:rsidR="007B734B" w:rsidRPr="00C83771" w:rsidRDefault="007B734B" w:rsidP="007B734B">
      <w:pPr>
        <w:spacing w:line="276" w:lineRule="auto"/>
        <w:jc w:val="both"/>
        <w:rPr>
          <w:rFonts w:ascii="Arial" w:hAnsi="Arial" w:cs="Arial"/>
          <w:sz w:val="20"/>
          <w:szCs w:val="20"/>
        </w:rPr>
      </w:pPr>
    </w:p>
    <w:p w14:paraId="7CA66A44" w14:textId="77777777" w:rsidR="00AE2A46" w:rsidRPr="00C83771" w:rsidRDefault="00AE2A46" w:rsidP="00AE2A46">
      <w:pPr>
        <w:spacing w:after="120" w:line="276" w:lineRule="auto"/>
        <w:jc w:val="both"/>
        <w:rPr>
          <w:rFonts w:ascii="Arial" w:hAnsi="Arial" w:cs="Arial"/>
          <w:b/>
          <w:bCs/>
          <w:sz w:val="20"/>
          <w:szCs w:val="20"/>
        </w:rPr>
      </w:pPr>
      <w:bookmarkStart w:id="1" w:name="_Hlk163215652"/>
      <w:bookmarkStart w:id="2" w:name="_Hlk163215717"/>
      <w:r w:rsidRPr="00C83771">
        <w:rPr>
          <w:rFonts w:ascii="Arial" w:hAnsi="Arial" w:cs="Arial"/>
          <w:b/>
          <w:bCs/>
          <w:sz w:val="20"/>
          <w:szCs w:val="20"/>
        </w:rPr>
        <w:t>Results</w:t>
      </w:r>
    </w:p>
    <w:p w14:paraId="1747A472" w14:textId="77777777" w:rsidR="00AE2A46" w:rsidRPr="00C83771" w:rsidRDefault="00AE2A46" w:rsidP="00AE2A46">
      <w:pPr>
        <w:spacing w:after="120" w:line="276" w:lineRule="auto"/>
        <w:jc w:val="both"/>
        <w:rPr>
          <w:rFonts w:ascii="Arial" w:hAnsi="Arial" w:cs="Arial"/>
          <w:i/>
          <w:iCs/>
          <w:sz w:val="20"/>
          <w:szCs w:val="20"/>
        </w:rPr>
      </w:pPr>
      <w:bookmarkStart w:id="3" w:name="_Hlk163215683"/>
      <w:bookmarkEnd w:id="1"/>
      <w:r w:rsidRPr="00C83771">
        <w:rPr>
          <w:rFonts w:ascii="Arial" w:hAnsi="Arial" w:cs="Arial"/>
          <w:i/>
          <w:iCs/>
          <w:sz w:val="20"/>
          <w:szCs w:val="20"/>
        </w:rPr>
        <w:t>Physical properties of anti-acne moisturizer</w:t>
      </w:r>
    </w:p>
    <w:bookmarkEnd w:id="3"/>
    <w:p w14:paraId="6C3D37DF" w14:textId="26151473" w:rsidR="00AE2A46" w:rsidRPr="00801C6D" w:rsidRDefault="00AE2A46" w:rsidP="00AE2A46">
      <w:pPr>
        <w:spacing w:after="120" w:line="276" w:lineRule="auto"/>
        <w:jc w:val="both"/>
        <w:rPr>
          <w:rFonts w:ascii="Arial" w:hAnsi="Arial" w:cs="Arial"/>
          <w:sz w:val="20"/>
          <w:szCs w:val="20"/>
        </w:rPr>
      </w:pPr>
      <w:r w:rsidRPr="00C83771">
        <w:rPr>
          <w:rFonts w:ascii="Arial" w:hAnsi="Arial" w:cs="Arial"/>
          <w:sz w:val="20"/>
          <w:szCs w:val="20"/>
        </w:rPr>
        <w:t>Table 2 demonstrates the physical property evaluation of the formulated F1, F2, and F3 moisturizer cream. The pH value for each formulation ranges between 5.59 and 5.73. Besides pH measurement, the physical stability of cream products is typically evaluated based on centrifugation tests, which apply centrifugal force at 3000 rpm. The occurrence of caking, coalescence, and flocculation indicates the presence of phase separation. The cream formulation appears stable, with no sign of phase separation. The spreadability factor of formulations was calculated as 0.62 ±0.01, 0.67 ±0.01 and 0.74± 0.01 mm2g-1</w:t>
      </w:r>
      <w:r w:rsidR="00DC1390">
        <w:rPr>
          <w:rFonts w:ascii="Arial" w:hAnsi="Arial" w:cs="Arial"/>
          <w:sz w:val="20"/>
          <w:szCs w:val="20"/>
        </w:rPr>
        <w:t xml:space="preserve">. </w:t>
      </w:r>
      <w:r w:rsidRPr="00C83771">
        <w:rPr>
          <w:rFonts w:ascii="Arial" w:hAnsi="Arial" w:cs="Arial"/>
          <w:sz w:val="20"/>
          <w:szCs w:val="20"/>
        </w:rPr>
        <w:t xml:space="preserve">Figure 1 shows the dilution test of F1, F2 and F3 formulations. Based on Figure 1, it can be inferred that the formulation is an oil-in-water formulation because it is miscible with distilled water. Sensitivity test exhibited no visible redness or irritation on the skin. This indicates that the formulated creams were safe and did not cause any sensitivity reactions. More than 70% of the sample weight was lost upon drying for all formulations, which is consistent with their </w:t>
      </w:r>
      <w:proofErr w:type="gramStart"/>
      <w:r w:rsidRPr="00C83771">
        <w:rPr>
          <w:rFonts w:ascii="Arial" w:hAnsi="Arial" w:cs="Arial"/>
          <w:sz w:val="20"/>
          <w:szCs w:val="20"/>
        </w:rPr>
        <w:t>high water</w:t>
      </w:r>
      <w:proofErr w:type="gramEnd"/>
      <w:r w:rsidRPr="00C83771">
        <w:rPr>
          <w:rFonts w:ascii="Arial" w:hAnsi="Arial" w:cs="Arial"/>
          <w:sz w:val="20"/>
          <w:szCs w:val="20"/>
        </w:rPr>
        <w:t xml:space="preserve"> content, a common characteristic of topical moisturizers (Mawazi </w:t>
      </w:r>
      <w:r w:rsidRPr="00C83771">
        <w:rPr>
          <w:rFonts w:ascii="Arial" w:hAnsi="Arial" w:cs="Arial"/>
          <w:i/>
          <w:iCs/>
          <w:sz w:val="20"/>
          <w:szCs w:val="20"/>
        </w:rPr>
        <w:t>et al</w:t>
      </w:r>
      <w:r w:rsidRPr="00C83771">
        <w:rPr>
          <w:rFonts w:ascii="Arial" w:hAnsi="Arial" w:cs="Arial"/>
          <w:sz w:val="20"/>
          <w:szCs w:val="20"/>
        </w:rPr>
        <w:t>., 2022). Based on the results of the washability study conducted on the cream formulations, it can be observed that all three formulations are easily washable, as they are miscible in water. All samples were removed</w:t>
      </w:r>
      <w:r w:rsidRPr="00801C6D">
        <w:rPr>
          <w:rFonts w:ascii="Arial" w:hAnsi="Arial" w:cs="Arial"/>
          <w:sz w:val="20"/>
          <w:szCs w:val="20"/>
        </w:rPr>
        <w:t xml:space="preserve"> entirely in less than 4 seconds. Based on the organoleptic test, all three samples have a pleasant odour and smooth textures. The F1 cream was observed to be white, while F2 and F3 are slightly yellowish due to the presence of rosehip oil in their composition. All the ingredients in the formulations were found to be homogenized harmoniously, as they do not contain any visible grains. The creams are also non-greasy and cause no noticeable sensation upon testing on the skin.</w:t>
      </w:r>
    </w:p>
    <w:p w14:paraId="039556C8" w14:textId="77777777" w:rsidR="00AE2A46" w:rsidRDefault="00AE2A46" w:rsidP="00AE2A46">
      <w:pPr>
        <w:spacing w:after="120" w:line="276" w:lineRule="auto"/>
        <w:jc w:val="both"/>
        <w:rPr>
          <w:rFonts w:ascii="Arial" w:hAnsi="Arial" w:cs="Arial"/>
          <w:sz w:val="20"/>
          <w:szCs w:val="20"/>
        </w:rPr>
      </w:pPr>
      <w:r w:rsidRPr="00801C6D">
        <w:rPr>
          <w:rFonts w:ascii="Arial" w:hAnsi="Arial" w:cs="Arial"/>
          <w:sz w:val="20"/>
          <w:szCs w:val="20"/>
        </w:rPr>
        <w:t xml:space="preserve">Based on the microscopic observations (Figure 2), the creams displayed oil droplets that are evenly distributed in size, corresponding to their texture. The study demonstrated that all three cream formulations exhibit non-Newtonian, pseudoplastic behaviour, as evidenced by the non-linear flow curves shown in Figures 3–5. This behaviour indicates that viscosity decreases with increasing shear rate, a characteristic of pseudoplastic systems. The corresponding viscosity profiles (Figures 6–8) further confirm this observation. Pseudoplasticity in topical creams is advantageous because it allows the formulation to spread easily under shear during application, while maintaining </w:t>
      </w:r>
      <w:r w:rsidRPr="00C83771">
        <w:rPr>
          <w:rFonts w:ascii="Arial" w:hAnsi="Arial" w:cs="Arial"/>
          <w:sz w:val="20"/>
          <w:szCs w:val="20"/>
        </w:rPr>
        <w:t xml:space="preserve">stability at rest (Mawazi </w:t>
      </w:r>
      <w:r w:rsidRPr="00C83771">
        <w:rPr>
          <w:rFonts w:ascii="Arial" w:hAnsi="Arial" w:cs="Arial"/>
          <w:i/>
          <w:iCs/>
          <w:sz w:val="20"/>
          <w:szCs w:val="20"/>
        </w:rPr>
        <w:t>et al</w:t>
      </w:r>
      <w:r w:rsidRPr="00C83771">
        <w:rPr>
          <w:rFonts w:ascii="Arial" w:hAnsi="Arial" w:cs="Arial"/>
          <w:sz w:val="20"/>
          <w:szCs w:val="20"/>
        </w:rPr>
        <w:t xml:space="preserve">., 2022). Table 3 presents the viscosity values for all formulations that have been prepared. Viscosity for F1 is 8.32 </w:t>
      </w:r>
      <w:proofErr w:type="gramStart"/>
      <w:r w:rsidRPr="00C83771">
        <w:rPr>
          <w:rFonts w:ascii="Arial" w:hAnsi="Arial" w:cs="Arial"/>
          <w:sz w:val="20"/>
          <w:szCs w:val="20"/>
        </w:rPr>
        <w:t>Pa.s</w:t>
      </w:r>
      <w:proofErr w:type="gramEnd"/>
      <w:r w:rsidRPr="00C83771">
        <w:rPr>
          <w:rFonts w:ascii="Arial" w:hAnsi="Arial" w:cs="Arial"/>
          <w:sz w:val="20"/>
          <w:szCs w:val="20"/>
        </w:rPr>
        <w:t xml:space="preserve"> ±1.06, while for F2 is 10.02 </w:t>
      </w:r>
      <w:proofErr w:type="gramStart"/>
      <w:r w:rsidRPr="00C83771">
        <w:rPr>
          <w:rFonts w:ascii="Arial" w:hAnsi="Arial" w:cs="Arial"/>
          <w:sz w:val="20"/>
          <w:szCs w:val="20"/>
        </w:rPr>
        <w:t>Pa.s</w:t>
      </w:r>
      <w:proofErr w:type="gramEnd"/>
      <w:r w:rsidRPr="00C83771">
        <w:rPr>
          <w:rFonts w:ascii="Arial" w:hAnsi="Arial" w:cs="Arial"/>
          <w:sz w:val="20"/>
          <w:szCs w:val="20"/>
        </w:rPr>
        <w:t xml:space="preserve"> ±0.90 and for F3 is 7.40 </w:t>
      </w:r>
      <w:proofErr w:type="gramStart"/>
      <w:r w:rsidRPr="00C83771">
        <w:rPr>
          <w:rFonts w:ascii="Arial" w:hAnsi="Arial" w:cs="Arial"/>
          <w:sz w:val="20"/>
          <w:szCs w:val="20"/>
        </w:rPr>
        <w:t>Pa.s</w:t>
      </w:r>
      <w:proofErr w:type="gramEnd"/>
      <w:r w:rsidRPr="00C83771">
        <w:rPr>
          <w:rFonts w:ascii="Arial" w:hAnsi="Arial" w:cs="Arial"/>
          <w:sz w:val="20"/>
          <w:szCs w:val="20"/>
        </w:rPr>
        <w:t xml:space="preserve"> ±0.75. However, no significant</w:t>
      </w:r>
      <w:r w:rsidRPr="00801C6D">
        <w:rPr>
          <w:rFonts w:ascii="Arial" w:hAnsi="Arial" w:cs="Arial"/>
          <w:sz w:val="20"/>
          <w:szCs w:val="20"/>
        </w:rPr>
        <w:t xml:space="preserve"> difference in the viscosity of all the formulations. </w:t>
      </w:r>
    </w:p>
    <w:p w14:paraId="4A7EA23D" w14:textId="77777777" w:rsidR="00DC1390" w:rsidRDefault="00DC1390" w:rsidP="00AE2A46">
      <w:pPr>
        <w:spacing w:after="120" w:line="276" w:lineRule="auto"/>
        <w:jc w:val="both"/>
        <w:rPr>
          <w:rFonts w:ascii="Arial" w:hAnsi="Arial" w:cs="Arial"/>
          <w:sz w:val="20"/>
          <w:szCs w:val="20"/>
        </w:rPr>
      </w:pPr>
    </w:p>
    <w:p w14:paraId="10B6934D" w14:textId="77777777" w:rsidR="00DC1390" w:rsidRPr="00801C6D" w:rsidRDefault="00DC1390" w:rsidP="00AE2A46">
      <w:pPr>
        <w:spacing w:after="120" w:line="276" w:lineRule="auto"/>
        <w:jc w:val="both"/>
        <w:rPr>
          <w:rFonts w:ascii="Arial" w:hAnsi="Arial" w:cs="Arial"/>
          <w:sz w:val="20"/>
          <w:szCs w:val="20"/>
        </w:rPr>
      </w:pPr>
    </w:p>
    <w:p w14:paraId="132EF85F" w14:textId="77777777" w:rsidR="00AE2A46" w:rsidRPr="00801C6D" w:rsidRDefault="00AE2A46" w:rsidP="00AE2A46">
      <w:pPr>
        <w:spacing w:after="120"/>
        <w:jc w:val="center"/>
        <w:rPr>
          <w:rFonts w:ascii="Arial" w:hAnsi="Arial" w:cs="Arial"/>
          <w:sz w:val="20"/>
          <w:szCs w:val="20"/>
        </w:rPr>
      </w:pPr>
      <w:r w:rsidRPr="00801C6D">
        <w:rPr>
          <w:rFonts w:ascii="Arial" w:hAnsi="Arial" w:cs="Arial"/>
          <w:b/>
          <w:bCs/>
          <w:i/>
          <w:iCs/>
          <w:sz w:val="20"/>
          <w:szCs w:val="20"/>
        </w:rPr>
        <w:lastRenderedPageBreak/>
        <w:t>Table 2</w:t>
      </w:r>
      <w:r w:rsidRPr="00801C6D">
        <w:rPr>
          <w:rFonts w:ascii="Arial" w:hAnsi="Arial" w:cs="Arial"/>
          <w:b/>
          <w:bCs/>
          <w:sz w:val="20"/>
          <w:szCs w:val="20"/>
        </w:rPr>
        <w:t>:</w:t>
      </w:r>
      <w:r w:rsidRPr="00801C6D">
        <w:rPr>
          <w:rFonts w:ascii="Arial" w:hAnsi="Arial" w:cs="Arial"/>
          <w:sz w:val="20"/>
          <w:szCs w:val="20"/>
        </w:rPr>
        <w:t xml:space="preserve"> </w:t>
      </w:r>
      <w:r w:rsidRPr="00801C6D">
        <w:rPr>
          <w:rFonts w:ascii="Arial" w:hAnsi="Arial" w:cs="Arial"/>
          <w:i/>
          <w:iCs/>
          <w:sz w:val="20"/>
          <w:szCs w:val="20"/>
        </w:rPr>
        <w:t>Results for Physicochemical Properties Evaluation of The Moisturizer Cream</w:t>
      </w:r>
    </w:p>
    <w:tbl>
      <w:tblPr>
        <w:tblStyle w:val="GridTable1Light"/>
        <w:tblW w:w="883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874"/>
        <w:gridCol w:w="1382"/>
        <w:gridCol w:w="1621"/>
        <w:gridCol w:w="1978"/>
        <w:gridCol w:w="1978"/>
      </w:tblGrid>
      <w:tr w:rsidR="00AE2A46" w:rsidRPr="00801C6D" w14:paraId="3EB422EA" w14:textId="77777777" w:rsidTr="00B46A29">
        <w:trPr>
          <w:cnfStyle w:val="100000000000" w:firstRow="1" w:lastRow="0" w:firstColumn="0" w:lastColumn="0" w:oddVBand="0" w:evenVBand="0" w:oddHBand="0" w:evenHBand="0" w:firstRowFirstColumn="0" w:firstRowLastColumn="0" w:lastRowFirstColumn="0" w:lastRowLastColumn="0"/>
          <w:trHeight w:val="228"/>
          <w:jc w:val="center"/>
        </w:trPr>
        <w:tc>
          <w:tcPr>
            <w:cnfStyle w:val="001000000000" w:firstRow="0" w:lastRow="0" w:firstColumn="1" w:lastColumn="0" w:oddVBand="0" w:evenVBand="0" w:oddHBand="0" w:evenHBand="0" w:firstRowFirstColumn="0" w:firstRowLastColumn="0" w:lastRowFirstColumn="0" w:lastRowLastColumn="0"/>
            <w:tcW w:w="1874" w:type="dxa"/>
            <w:tcBorders>
              <w:bottom w:val="none" w:sz="0" w:space="0" w:color="auto"/>
            </w:tcBorders>
            <w:vAlign w:val="center"/>
          </w:tcPr>
          <w:p w14:paraId="0BFB1374" w14:textId="77777777" w:rsidR="00AE2A46" w:rsidRPr="00801C6D" w:rsidRDefault="00AE2A46" w:rsidP="00B46A29">
            <w:pPr>
              <w:jc w:val="both"/>
              <w:rPr>
                <w:rFonts w:ascii="Arial" w:hAnsi="Arial" w:cs="Arial"/>
                <w:sz w:val="18"/>
                <w:szCs w:val="18"/>
              </w:rPr>
            </w:pPr>
            <w:r w:rsidRPr="00801C6D">
              <w:rPr>
                <w:rFonts w:ascii="Arial" w:hAnsi="Arial" w:cs="Arial"/>
                <w:sz w:val="18"/>
                <w:szCs w:val="18"/>
              </w:rPr>
              <w:t>Test</w:t>
            </w:r>
          </w:p>
        </w:tc>
        <w:tc>
          <w:tcPr>
            <w:tcW w:w="1382" w:type="dxa"/>
            <w:tcBorders>
              <w:bottom w:val="none" w:sz="0" w:space="0" w:color="auto"/>
            </w:tcBorders>
            <w:vAlign w:val="center"/>
          </w:tcPr>
          <w:p w14:paraId="3A2612CC" w14:textId="77777777" w:rsidR="00AE2A46" w:rsidRPr="00801C6D" w:rsidRDefault="00AE2A46" w:rsidP="00B46A29">
            <w:pPr>
              <w:jc w:val="center"/>
              <w:cnfStyle w:val="100000000000" w:firstRow="1" w:lastRow="0" w:firstColumn="0" w:lastColumn="0" w:oddVBand="0" w:evenVBand="0" w:oddHBand="0" w:evenHBand="0" w:firstRowFirstColumn="0" w:firstRowLastColumn="0" w:lastRowFirstColumn="0" w:lastRowLastColumn="0"/>
              <w:rPr>
                <w:rFonts w:ascii="Arial" w:hAnsi="Arial" w:cs="Arial"/>
                <w:sz w:val="18"/>
                <w:szCs w:val="18"/>
              </w:rPr>
            </w:pPr>
            <w:r w:rsidRPr="00801C6D">
              <w:rPr>
                <w:rFonts w:ascii="Arial" w:hAnsi="Arial" w:cs="Arial"/>
                <w:sz w:val="18"/>
                <w:szCs w:val="18"/>
              </w:rPr>
              <w:t>Parameter</w:t>
            </w:r>
          </w:p>
        </w:tc>
        <w:tc>
          <w:tcPr>
            <w:tcW w:w="1621" w:type="dxa"/>
            <w:tcBorders>
              <w:bottom w:val="none" w:sz="0" w:space="0" w:color="auto"/>
            </w:tcBorders>
            <w:vAlign w:val="center"/>
          </w:tcPr>
          <w:p w14:paraId="61ABE4CA" w14:textId="77777777" w:rsidR="00AE2A46" w:rsidRPr="00801C6D" w:rsidRDefault="00AE2A46" w:rsidP="00B46A29">
            <w:pPr>
              <w:jc w:val="center"/>
              <w:cnfStyle w:val="100000000000" w:firstRow="1" w:lastRow="0" w:firstColumn="0" w:lastColumn="0" w:oddVBand="0" w:evenVBand="0" w:oddHBand="0" w:evenHBand="0" w:firstRowFirstColumn="0" w:firstRowLastColumn="0" w:lastRowFirstColumn="0" w:lastRowLastColumn="0"/>
              <w:rPr>
                <w:rFonts w:ascii="Arial" w:hAnsi="Arial" w:cs="Arial"/>
                <w:sz w:val="18"/>
                <w:szCs w:val="18"/>
              </w:rPr>
            </w:pPr>
            <w:r w:rsidRPr="00801C6D">
              <w:rPr>
                <w:rFonts w:ascii="Arial" w:hAnsi="Arial" w:cs="Arial"/>
                <w:sz w:val="18"/>
                <w:szCs w:val="18"/>
              </w:rPr>
              <w:t>F1</w:t>
            </w:r>
          </w:p>
        </w:tc>
        <w:tc>
          <w:tcPr>
            <w:tcW w:w="1978" w:type="dxa"/>
            <w:tcBorders>
              <w:bottom w:val="none" w:sz="0" w:space="0" w:color="auto"/>
            </w:tcBorders>
            <w:vAlign w:val="center"/>
          </w:tcPr>
          <w:p w14:paraId="1A74FA91" w14:textId="77777777" w:rsidR="00AE2A46" w:rsidRPr="00801C6D" w:rsidRDefault="00AE2A46" w:rsidP="00B46A29">
            <w:pPr>
              <w:jc w:val="center"/>
              <w:cnfStyle w:val="100000000000" w:firstRow="1" w:lastRow="0" w:firstColumn="0" w:lastColumn="0" w:oddVBand="0" w:evenVBand="0" w:oddHBand="0" w:evenHBand="0" w:firstRowFirstColumn="0" w:firstRowLastColumn="0" w:lastRowFirstColumn="0" w:lastRowLastColumn="0"/>
              <w:rPr>
                <w:rFonts w:ascii="Arial" w:hAnsi="Arial" w:cs="Arial"/>
                <w:sz w:val="18"/>
                <w:szCs w:val="18"/>
              </w:rPr>
            </w:pPr>
            <w:r w:rsidRPr="00801C6D">
              <w:rPr>
                <w:rFonts w:ascii="Arial" w:hAnsi="Arial" w:cs="Arial"/>
                <w:sz w:val="18"/>
                <w:szCs w:val="18"/>
              </w:rPr>
              <w:t>F2</w:t>
            </w:r>
          </w:p>
        </w:tc>
        <w:tc>
          <w:tcPr>
            <w:tcW w:w="1978" w:type="dxa"/>
            <w:tcBorders>
              <w:bottom w:val="none" w:sz="0" w:space="0" w:color="auto"/>
            </w:tcBorders>
            <w:vAlign w:val="center"/>
          </w:tcPr>
          <w:p w14:paraId="14BD56B5" w14:textId="77777777" w:rsidR="00AE2A46" w:rsidRPr="00801C6D" w:rsidRDefault="00AE2A46" w:rsidP="00B46A29">
            <w:pPr>
              <w:jc w:val="center"/>
              <w:cnfStyle w:val="100000000000" w:firstRow="1" w:lastRow="0" w:firstColumn="0" w:lastColumn="0" w:oddVBand="0" w:evenVBand="0" w:oddHBand="0" w:evenHBand="0" w:firstRowFirstColumn="0" w:firstRowLastColumn="0" w:lastRowFirstColumn="0" w:lastRowLastColumn="0"/>
              <w:rPr>
                <w:rFonts w:ascii="Arial" w:hAnsi="Arial" w:cs="Arial"/>
                <w:sz w:val="18"/>
                <w:szCs w:val="18"/>
              </w:rPr>
            </w:pPr>
            <w:r w:rsidRPr="00801C6D">
              <w:rPr>
                <w:rFonts w:ascii="Arial" w:hAnsi="Arial" w:cs="Arial"/>
                <w:sz w:val="18"/>
                <w:szCs w:val="18"/>
              </w:rPr>
              <w:t>F3</w:t>
            </w:r>
          </w:p>
        </w:tc>
      </w:tr>
      <w:tr w:rsidR="00AE2A46" w:rsidRPr="00801C6D" w14:paraId="0830CB76" w14:textId="77777777" w:rsidTr="00B46A29">
        <w:trPr>
          <w:trHeight w:val="180"/>
          <w:jc w:val="center"/>
        </w:trPr>
        <w:tc>
          <w:tcPr>
            <w:cnfStyle w:val="001000000000" w:firstRow="0" w:lastRow="0" w:firstColumn="1" w:lastColumn="0" w:oddVBand="0" w:evenVBand="0" w:oddHBand="0" w:evenHBand="0" w:firstRowFirstColumn="0" w:firstRowLastColumn="0" w:lastRowFirstColumn="0" w:lastRowLastColumn="0"/>
            <w:tcW w:w="1874" w:type="dxa"/>
            <w:vAlign w:val="center"/>
          </w:tcPr>
          <w:p w14:paraId="1FAC3796" w14:textId="77777777" w:rsidR="00AE2A46" w:rsidRPr="00801C6D" w:rsidRDefault="00AE2A46" w:rsidP="00B46A29">
            <w:pPr>
              <w:jc w:val="both"/>
              <w:rPr>
                <w:rFonts w:ascii="Arial" w:hAnsi="Arial" w:cs="Arial"/>
                <w:sz w:val="18"/>
                <w:szCs w:val="18"/>
              </w:rPr>
            </w:pPr>
            <w:r w:rsidRPr="00801C6D">
              <w:rPr>
                <w:rFonts w:ascii="Arial" w:hAnsi="Arial" w:cs="Arial"/>
                <w:sz w:val="18"/>
                <w:szCs w:val="18"/>
              </w:rPr>
              <w:t>pH measurement ±SD</w:t>
            </w:r>
          </w:p>
        </w:tc>
        <w:tc>
          <w:tcPr>
            <w:tcW w:w="1382" w:type="dxa"/>
            <w:vAlign w:val="center"/>
          </w:tcPr>
          <w:p w14:paraId="2CDD4165" w14:textId="77777777" w:rsidR="00AE2A46" w:rsidRPr="00801C6D" w:rsidRDefault="00AE2A46" w:rsidP="00B46A29">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p>
        </w:tc>
        <w:tc>
          <w:tcPr>
            <w:tcW w:w="1621" w:type="dxa"/>
            <w:vAlign w:val="center"/>
          </w:tcPr>
          <w:p w14:paraId="3F22999B" w14:textId="77777777" w:rsidR="00AE2A46" w:rsidRPr="00801C6D" w:rsidRDefault="00AE2A46" w:rsidP="00B46A29">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801C6D">
              <w:rPr>
                <w:rFonts w:ascii="Arial" w:hAnsi="Arial" w:cs="Arial"/>
                <w:sz w:val="18"/>
                <w:szCs w:val="18"/>
              </w:rPr>
              <w:t>5.59 ±0.01C</w:t>
            </w:r>
          </w:p>
        </w:tc>
        <w:tc>
          <w:tcPr>
            <w:tcW w:w="1978" w:type="dxa"/>
            <w:vAlign w:val="center"/>
          </w:tcPr>
          <w:p w14:paraId="2D6BA7F3" w14:textId="77777777" w:rsidR="00AE2A46" w:rsidRPr="00801C6D" w:rsidRDefault="00AE2A46" w:rsidP="00B46A29">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801C6D">
              <w:rPr>
                <w:rFonts w:ascii="Arial" w:hAnsi="Arial" w:cs="Arial"/>
                <w:sz w:val="18"/>
                <w:szCs w:val="18"/>
              </w:rPr>
              <w:t>5.73 ±0.02A</w:t>
            </w:r>
          </w:p>
        </w:tc>
        <w:tc>
          <w:tcPr>
            <w:tcW w:w="1978" w:type="dxa"/>
            <w:vAlign w:val="center"/>
          </w:tcPr>
          <w:p w14:paraId="1616EA8C" w14:textId="77777777" w:rsidR="00AE2A46" w:rsidRPr="00801C6D" w:rsidRDefault="00AE2A46" w:rsidP="00B46A29">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801C6D">
              <w:rPr>
                <w:rFonts w:ascii="Arial" w:hAnsi="Arial" w:cs="Arial"/>
                <w:sz w:val="18"/>
                <w:szCs w:val="18"/>
              </w:rPr>
              <w:t>5.63 ±0.02B</w:t>
            </w:r>
          </w:p>
        </w:tc>
      </w:tr>
      <w:tr w:rsidR="00AE2A46" w:rsidRPr="00801C6D" w14:paraId="37DFD88F" w14:textId="77777777" w:rsidTr="00B46A29">
        <w:trPr>
          <w:trHeight w:val="457"/>
          <w:jc w:val="center"/>
        </w:trPr>
        <w:tc>
          <w:tcPr>
            <w:cnfStyle w:val="001000000000" w:firstRow="0" w:lastRow="0" w:firstColumn="1" w:lastColumn="0" w:oddVBand="0" w:evenVBand="0" w:oddHBand="0" w:evenHBand="0" w:firstRowFirstColumn="0" w:firstRowLastColumn="0" w:lastRowFirstColumn="0" w:lastRowLastColumn="0"/>
            <w:tcW w:w="1874" w:type="dxa"/>
            <w:vAlign w:val="center"/>
          </w:tcPr>
          <w:p w14:paraId="52FA3619" w14:textId="77777777" w:rsidR="00AE2A46" w:rsidRPr="00801C6D" w:rsidRDefault="00AE2A46" w:rsidP="00B46A29">
            <w:pPr>
              <w:jc w:val="both"/>
              <w:rPr>
                <w:rFonts w:ascii="Arial" w:hAnsi="Arial" w:cs="Arial"/>
                <w:sz w:val="18"/>
                <w:szCs w:val="18"/>
              </w:rPr>
            </w:pPr>
            <w:r w:rsidRPr="00801C6D">
              <w:rPr>
                <w:rFonts w:ascii="Arial" w:hAnsi="Arial" w:cs="Arial"/>
                <w:sz w:val="18"/>
                <w:szCs w:val="18"/>
              </w:rPr>
              <w:t xml:space="preserve">Centrifugation </w:t>
            </w:r>
          </w:p>
        </w:tc>
        <w:tc>
          <w:tcPr>
            <w:tcW w:w="1382" w:type="dxa"/>
            <w:vAlign w:val="center"/>
          </w:tcPr>
          <w:p w14:paraId="63FA3AD1" w14:textId="77777777" w:rsidR="00AE2A46" w:rsidRPr="00801C6D" w:rsidRDefault="00AE2A46" w:rsidP="00B46A29">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801C6D">
              <w:rPr>
                <w:rFonts w:ascii="Arial" w:hAnsi="Arial" w:cs="Arial"/>
                <w:sz w:val="18"/>
                <w:szCs w:val="18"/>
              </w:rPr>
              <w:t>Phase separation</w:t>
            </w:r>
          </w:p>
        </w:tc>
        <w:tc>
          <w:tcPr>
            <w:tcW w:w="1621" w:type="dxa"/>
            <w:vAlign w:val="center"/>
          </w:tcPr>
          <w:p w14:paraId="11AF46AF" w14:textId="77777777" w:rsidR="00AE2A46" w:rsidRPr="00801C6D" w:rsidRDefault="00AE2A46" w:rsidP="00B46A29">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801C6D">
              <w:rPr>
                <w:rFonts w:ascii="Arial" w:hAnsi="Arial" w:cs="Arial"/>
                <w:sz w:val="18"/>
                <w:szCs w:val="18"/>
              </w:rPr>
              <w:t>No separation</w:t>
            </w:r>
          </w:p>
        </w:tc>
        <w:tc>
          <w:tcPr>
            <w:tcW w:w="1978" w:type="dxa"/>
            <w:vAlign w:val="center"/>
          </w:tcPr>
          <w:p w14:paraId="0C376A7D" w14:textId="77777777" w:rsidR="00AE2A46" w:rsidRPr="00801C6D" w:rsidRDefault="00AE2A46" w:rsidP="00B46A29">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801C6D">
              <w:rPr>
                <w:rFonts w:ascii="Arial" w:hAnsi="Arial" w:cs="Arial"/>
                <w:sz w:val="18"/>
                <w:szCs w:val="18"/>
              </w:rPr>
              <w:t>No separation</w:t>
            </w:r>
          </w:p>
        </w:tc>
        <w:tc>
          <w:tcPr>
            <w:tcW w:w="1978" w:type="dxa"/>
            <w:vAlign w:val="center"/>
          </w:tcPr>
          <w:p w14:paraId="44FCF8C1" w14:textId="77777777" w:rsidR="00AE2A46" w:rsidRPr="00801C6D" w:rsidRDefault="00AE2A46" w:rsidP="00B46A29">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801C6D">
              <w:rPr>
                <w:rFonts w:ascii="Arial" w:hAnsi="Arial" w:cs="Arial"/>
                <w:sz w:val="18"/>
                <w:szCs w:val="18"/>
              </w:rPr>
              <w:t>No separation</w:t>
            </w:r>
          </w:p>
        </w:tc>
      </w:tr>
      <w:tr w:rsidR="00AE2A46" w:rsidRPr="00801C6D" w14:paraId="26F3E9F4" w14:textId="77777777" w:rsidTr="00B46A29">
        <w:trPr>
          <w:trHeight w:val="437"/>
          <w:jc w:val="center"/>
        </w:trPr>
        <w:tc>
          <w:tcPr>
            <w:cnfStyle w:val="001000000000" w:firstRow="0" w:lastRow="0" w:firstColumn="1" w:lastColumn="0" w:oddVBand="0" w:evenVBand="0" w:oddHBand="0" w:evenHBand="0" w:firstRowFirstColumn="0" w:firstRowLastColumn="0" w:lastRowFirstColumn="0" w:lastRowLastColumn="0"/>
            <w:tcW w:w="1874" w:type="dxa"/>
            <w:vAlign w:val="center"/>
          </w:tcPr>
          <w:p w14:paraId="2183B4A0" w14:textId="77777777" w:rsidR="00AE2A46" w:rsidRPr="00801C6D" w:rsidRDefault="00AE2A46" w:rsidP="00B46A29">
            <w:pPr>
              <w:jc w:val="both"/>
              <w:rPr>
                <w:rFonts w:ascii="Arial" w:hAnsi="Arial" w:cs="Arial"/>
                <w:sz w:val="18"/>
                <w:szCs w:val="18"/>
              </w:rPr>
            </w:pPr>
            <w:r w:rsidRPr="00801C6D">
              <w:rPr>
                <w:rFonts w:ascii="Arial" w:hAnsi="Arial" w:cs="Arial"/>
                <w:sz w:val="18"/>
                <w:szCs w:val="18"/>
              </w:rPr>
              <w:t>Spreadability ±SD</w:t>
            </w:r>
          </w:p>
        </w:tc>
        <w:tc>
          <w:tcPr>
            <w:tcW w:w="1382" w:type="dxa"/>
            <w:vAlign w:val="center"/>
          </w:tcPr>
          <w:p w14:paraId="54B52D53" w14:textId="77777777" w:rsidR="00AE2A46" w:rsidRPr="00801C6D" w:rsidRDefault="00AE2A46" w:rsidP="00B46A29">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801C6D">
              <w:rPr>
                <w:rFonts w:ascii="Arial" w:hAnsi="Arial" w:cs="Arial"/>
                <w:sz w:val="18"/>
                <w:szCs w:val="18"/>
              </w:rPr>
              <w:t>Sf (mm²g-1)</w:t>
            </w:r>
          </w:p>
        </w:tc>
        <w:tc>
          <w:tcPr>
            <w:tcW w:w="1621" w:type="dxa"/>
            <w:vAlign w:val="center"/>
          </w:tcPr>
          <w:p w14:paraId="4598A2C4" w14:textId="77777777" w:rsidR="00AE2A46" w:rsidRPr="00801C6D" w:rsidRDefault="00AE2A46" w:rsidP="00B46A29">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801C6D">
              <w:rPr>
                <w:rFonts w:ascii="Arial" w:hAnsi="Arial" w:cs="Arial"/>
                <w:sz w:val="18"/>
                <w:szCs w:val="18"/>
              </w:rPr>
              <w:t>0.62 ± 0.01A</w:t>
            </w:r>
          </w:p>
        </w:tc>
        <w:tc>
          <w:tcPr>
            <w:tcW w:w="1978" w:type="dxa"/>
            <w:vAlign w:val="center"/>
          </w:tcPr>
          <w:p w14:paraId="0BA91C56" w14:textId="77777777" w:rsidR="00AE2A46" w:rsidRPr="00801C6D" w:rsidRDefault="00AE2A46" w:rsidP="00B46A29">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801C6D">
              <w:rPr>
                <w:rFonts w:ascii="Arial" w:hAnsi="Arial" w:cs="Arial"/>
                <w:sz w:val="18"/>
                <w:szCs w:val="18"/>
              </w:rPr>
              <w:t>0.67 ± 0.01A</w:t>
            </w:r>
          </w:p>
        </w:tc>
        <w:tc>
          <w:tcPr>
            <w:tcW w:w="1978" w:type="dxa"/>
            <w:vAlign w:val="center"/>
          </w:tcPr>
          <w:p w14:paraId="71B0CEA1" w14:textId="77777777" w:rsidR="00AE2A46" w:rsidRPr="00801C6D" w:rsidRDefault="00AE2A46" w:rsidP="00B46A29">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801C6D">
              <w:rPr>
                <w:rFonts w:ascii="Arial" w:hAnsi="Arial" w:cs="Arial"/>
                <w:sz w:val="18"/>
                <w:szCs w:val="18"/>
              </w:rPr>
              <w:t>0.74 ± 0.01AB</w:t>
            </w:r>
          </w:p>
        </w:tc>
      </w:tr>
      <w:tr w:rsidR="00AE2A46" w:rsidRPr="00801C6D" w14:paraId="74A99840" w14:textId="77777777" w:rsidTr="00B46A29">
        <w:trPr>
          <w:trHeight w:val="228"/>
          <w:jc w:val="center"/>
        </w:trPr>
        <w:tc>
          <w:tcPr>
            <w:cnfStyle w:val="001000000000" w:firstRow="0" w:lastRow="0" w:firstColumn="1" w:lastColumn="0" w:oddVBand="0" w:evenVBand="0" w:oddHBand="0" w:evenHBand="0" w:firstRowFirstColumn="0" w:firstRowLastColumn="0" w:lastRowFirstColumn="0" w:lastRowLastColumn="0"/>
            <w:tcW w:w="1874" w:type="dxa"/>
            <w:vAlign w:val="center"/>
          </w:tcPr>
          <w:p w14:paraId="76630C08" w14:textId="77777777" w:rsidR="00AE2A46" w:rsidRPr="00801C6D" w:rsidRDefault="00AE2A46" w:rsidP="00B46A29">
            <w:pPr>
              <w:jc w:val="both"/>
              <w:rPr>
                <w:rFonts w:ascii="Arial" w:hAnsi="Arial" w:cs="Arial"/>
                <w:sz w:val="18"/>
                <w:szCs w:val="18"/>
              </w:rPr>
            </w:pPr>
            <w:r w:rsidRPr="00801C6D">
              <w:rPr>
                <w:rFonts w:ascii="Arial" w:hAnsi="Arial" w:cs="Arial"/>
                <w:sz w:val="18"/>
                <w:szCs w:val="18"/>
              </w:rPr>
              <w:t>Dilution</w:t>
            </w:r>
          </w:p>
        </w:tc>
        <w:tc>
          <w:tcPr>
            <w:tcW w:w="1382" w:type="dxa"/>
            <w:vAlign w:val="center"/>
          </w:tcPr>
          <w:p w14:paraId="50D1794E" w14:textId="77777777" w:rsidR="00AE2A46" w:rsidRPr="00801C6D" w:rsidRDefault="00AE2A46" w:rsidP="00B46A29">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p>
        </w:tc>
        <w:tc>
          <w:tcPr>
            <w:tcW w:w="1621" w:type="dxa"/>
            <w:vAlign w:val="center"/>
          </w:tcPr>
          <w:p w14:paraId="0F277C7B" w14:textId="77777777" w:rsidR="00AE2A46" w:rsidRPr="00801C6D" w:rsidRDefault="00AE2A46" w:rsidP="00B46A29">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801C6D">
              <w:rPr>
                <w:rFonts w:ascii="Arial" w:hAnsi="Arial" w:cs="Arial"/>
                <w:sz w:val="18"/>
                <w:szCs w:val="18"/>
              </w:rPr>
              <w:t>Dilute in distilled water</w:t>
            </w:r>
          </w:p>
        </w:tc>
        <w:tc>
          <w:tcPr>
            <w:tcW w:w="1978" w:type="dxa"/>
            <w:vAlign w:val="center"/>
          </w:tcPr>
          <w:p w14:paraId="78DF37AC" w14:textId="77777777" w:rsidR="00AE2A46" w:rsidRPr="00801C6D" w:rsidRDefault="00AE2A46" w:rsidP="00B46A29">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801C6D">
              <w:rPr>
                <w:rFonts w:ascii="Arial" w:hAnsi="Arial" w:cs="Arial"/>
                <w:sz w:val="18"/>
                <w:szCs w:val="18"/>
              </w:rPr>
              <w:t>Dilute in distilled water</w:t>
            </w:r>
          </w:p>
        </w:tc>
        <w:tc>
          <w:tcPr>
            <w:tcW w:w="1978" w:type="dxa"/>
            <w:vAlign w:val="center"/>
          </w:tcPr>
          <w:p w14:paraId="2667BC25" w14:textId="77777777" w:rsidR="00AE2A46" w:rsidRPr="00801C6D" w:rsidRDefault="00AE2A46" w:rsidP="00B46A29">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801C6D">
              <w:rPr>
                <w:rFonts w:ascii="Arial" w:hAnsi="Arial" w:cs="Arial"/>
                <w:sz w:val="18"/>
                <w:szCs w:val="18"/>
              </w:rPr>
              <w:t>Dilute in distilled water</w:t>
            </w:r>
          </w:p>
        </w:tc>
      </w:tr>
      <w:tr w:rsidR="00AE2A46" w:rsidRPr="00801C6D" w14:paraId="55C524B0" w14:textId="77777777" w:rsidTr="00B46A29">
        <w:trPr>
          <w:trHeight w:val="228"/>
          <w:jc w:val="center"/>
        </w:trPr>
        <w:tc>
          <w:tcPr>
            <w:cnfStyle w:val="001000000000" w:firstRow="0" w:lastRow="0" w:firstColumn="1" w:lastColumn="0" w:oddVBand="0" w:evenVBand="0" w:oddHBand="0" w:evenHBand="0" w:firstRowFirstColumn="0" w:firstRowLastColumn="0" w:lastRowFirstColumn="0" w:lastRowLastColumn="0"/>
            <w:tcW w:w="1874" w:type="dxa"/>
            <w:vAlign w:val="center"/>
          </w:tcPr>
          <w:p w14:paraId="2942D406" w14:textId="77777777" w:rsidR="00AE2A46" w:rsidRPr="00801C6D" w:rsidRDefault="00AE2A46" w:rsidP="00B46A29">
            <w:pPr>
              <w:jc w:val="both"/>
              <w:rPr>
                <w:rFonts w:ascii="Arial" w:hAnsi="Arial" w:cs="Arial"/>
                <w:sz w:val="18"/>
                <w:szCs w:val="18"/>
              </w:rPr>
            </w:pPr>
            <w:r w:rsidRPr="00801C6D">
              <w:rPr>
                <w:rFonts w:ascii="Arial" w:hAnsi="Arial" w:cs="Arial"/>
                <w:sz w:val="18"/>
                <w:szCs w:val="18"/>
              </w:rPr>
              <w:t>Sensitivity</w:t>
            </w:r>
          </w:p>
        </w:tc>
        <w:tc>
          <w:tcPr>
            <w:tcW w:w="1382" w:type="dxa"/>
            <w:vAlign w:val="center"/>
          </w:tcPr>
          <w:p w14:paraId="03CCBEED" w14:textId="77777777" w:rsidR="00AE2A46" w:rsidRPr="00801C6D" w:rsidRDefault="00AE2A46" w:rsidP="00B46A29">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p>
        </w:tc>
        <w:tc>
          <w:tcPr>
            <w:tcW w:w="1621" w:type="dxa"/>
            <w:vAlign w:val="center"/>
          </w:tcPr>
          <w:p w14:paraId="60C54E48" w14:textId="77777777" w:rsidR="00AE2A46" w:rsidRPr="00801C6D" w:rsidRDefault="00AE2A46" w:rsidP="00B46A29">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801C6D">
              <w:rPr>
                <w:rFonts w:ascii="Arial" w:hAnsi="Arial" w:cs="Arial"/>
                <w:sz w:val="18"/>
                <w:szCs w:val="18"/>
              </w:rPr>
              <w:t>No irritation or redness</w:t>
            </w:r>
          </w:p>
        </w:tc>
        <w:tc>
          <w:tcPr>
            <w:tcW w:w="1978" w:type="dxa"/>
            <w:vAlign w:val="center"/>
          </w:tcPr>
          <w:p w14:paraId="0C59053D" w14:textId="77777777" w:rsidR="00AE2A46" w:rsidRPr="00801C6D" w:rsidRDefault="00AE2A46" w:rsidP="00B46A29">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801C6D">
              <w:rPr>
                <w:rFonts w:ascii="Arial" w:hAnsi="Arial" w:cs="Arial"/>
                <w:sz w:val="18"/>
                <w:szCs w:val="18"/>
              </w:rPr>
              <w:t>No irritation or redness</w:t>
            </w:r>
          </w:p>
        </w:tc>
        <w:tc>
          <w:tcPr>
            <w:tcW w:w="1978" w:type="dxa"/>
            <w:vAlign w:val="center"/>
          </w:tcPr>
          <w:p w14:paraId="4E2AA9E9" w14:textId="77777777" w:rsidR="00AE2A46" w:rsidRPr="00801C6D" w:rsidRDefault="00AE2A46" w:rsidP="00B46A29">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801C6D">
              <w:rPr>
                <w:rFonts w:ascii="Arial" w:hAnsi="Arial" w:cs="Arial"/>
                <w:sz w:val="18"/>
                <w:szCs w:val="18"/>
              </w:rPr>
              <w:t>No irritation or redness</w:t>
            </w:r>
          </w:p>
        </w:tc>
      </w:tr>
      <w:tr w:rsidR="00AE2A46" w:rsidRPr="00801C6D" w14:paraId="5604CB78" w14:textId="77777777" w:rsidTr="00B46A29">
        <w:trPr>
          <w:trHeight w:val="457"/>
          <w:jc w:val="center"/>
        </w:trPr>
        <w:tc>
          <w:tcPr>
            <w:cnfStyle w:val="001000000000" w:firstRow="0" w:lastRow="0" w:firstColumn="1" w:lastColumn="0" w:oddVBand="0" w:evenVBand="0" w:oddHBand="0" w:evenHBand="0" w:firstRowFirstColumn="0" w:firstRowLastColumn="0" w:lastRowFirstColumn="0" w:lastRowLastColumn="0"/>
            <w:tcW w:w="1874" w:type="dxa"/>
            <w:vMerge w:val="restart"/>
            <w:vAlign w:val="center"/>
          </w:tcPr>
          <w:p w14:paraId="071D5400" w14:textId="77777777" w:rsidR="00AE2A46" w:rsidRPr="00801C6D" w:rsidRDefault="00AE2A46" w:rsidP="00B46A29">
            <w:pPr>
              <w:jc w:val="both"/>
              <w:rPr>
                <w:rFonts w:ascii="Arial" w:hAnsi="Arial" w:cs="Arial"/>
                <w:sz w:val="18"/>
                <w:szCs w:val="18"/>
              </w:rPr>
            </w:pPr>
            <w:r w:rsidRPr="00801C6D">
              <w:rPr>
                <w:rFonts w:ascii="Arial" w:hAnsi="Arial" w:cs="Arial"/>
                <w:sz w:val="18"/>
                <w:szCs w:val="18"/>
              </w:rPr>
              <w:t>Loss of drying ±SD</w:t>
            </w:r>
          </w:p>
        </w:tc>
        <w:tc>
          <w:tcPr>
            <w:tcW w:w="1382" w:type="dxa"/>
            <w:vAlign w:val="center"/>
          </w:tcPr>
          <w:p w14:paraId="0B2C323C" w14:textId="77777777" w:rsidR="00AE2A46" w:rsidRPr="00801C6D" w:rsidRDefault="00AE2A46" w:rsidP="00B46A29">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801C6D">
              <w:rPr>
                <w:rFonts w:ascii="Arial" w:hAnsi="Arial" w:cs="Arial"/>
                <w:sz w:val="18"/>
                <w:szCs w:val="18"/>
              </w:rPr>
              <w:t>Weight loss (g)</w:t>
            </w:r>
          </w:p>
        </w:tc>
        <w:tc>
          <w:tcPr>
            <w:tcW w:w="1621" w:type="dxa"/>
            <w:vAlign w:val="center"/>
          </w:tcPr>
          <w:p w14:paraId="398FDE0C" w14:textId="77777777" w:rsidR="00AE2A46" w:rsidRPr="00801C6D" w:rsidRDefault="00AE2A46" w:rsidP="00B46A29">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801C6D">
              <w:rPr>
                <w:rFonts w:ascii="Arial" w:hAnsi="Arial" w:cs="Arial"/>
                <w:sz w:val="18"/>
                <w:szCs w:val="18"/>
              </w:rPr>
              <w:t>0.73 ± 0.05A</w:t>
            </w:r>
          </w:p>
        </w:tc>
        <w:tc>
          <w:tcPr>
            <w:tcW w:w="1978" w:type="dxa"/>
            <w:vAlign w:val="center"/>
          </w:tcPr>
          <w:p w14:paraId="5F463951" w14:textId="77777777" w:rsidR="00AE2A46" w:rsidRPr="00801C6D" w:rsidRDefault="00AE2A46" w:rsidP="00B46A29">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801C6D">
              <w:rPr>
                <w:rFonts w:ascii="Arial" w:hAnsi="Arial" w:cs="Arial"/>
                <w:sz w:val="18"/>
                <w:szCs w:val="18"/>
              </w:rPr>
              <w:t>0.73 ±0.02A</w:t>
            </w:r>
          </w:p>
        </w:tc>
        <w:tc>
          <w:tcPr>
            <w:tcW w:w="1978" w:type="dxa"/>
            <w:vAlign w:val="center"/>
          </w:tcPr>
          <w:p w14:paraId="2411B2CB" w14:textId="77777777" w:rsidR="00AE2A46" w:rsidRPr="00801C6D" w:rsidRDefault="00AE2A46" w:rsidP="00B46A29">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801C6D">
              <w:rPr>
                <w:rFonts w:ascii="Arial" w:hAnsi="Arial" w:cs="Arial"/>
                <w:sz w:val="18"/>
                <w:szCs w:val="18"/>
              </w:rPr>
              <w:t>0.72 ±0.01A</w:t>
            </w:r>
          </w:p>
        </w:tc>
      </w:tr>
      <w:tr w:rsidR="00AE2A46" w:rsidRPr="00801C6D" w14:paraId="58D48372" w14:textId="77777777" w:rsidTr="00B46A29">
        <w:trPr>
          <w:trHeight w:val="457"/>
          <w:jc w:val="center"/>
        </w:trPr>
        <w:tc>
          <w:tcPr>
            <w:cnfStyle w:val="001000000000" w:firstRow="0" w:lastRow="0" w:firstColumn="1" w:lastColumn="0" w:oddVBand="0" w:evenVBand="0" w:oddHBand="0" w:evenHBand="0" w:firstRowFirstColumn="0" w:firstRowLastColumn="0" w:lastRowFirstColumn="0" w:lastRowLastColumn="0"/>
            <w:tcW w:w="1874" w:type="dxa"/>
            <w:vMerge/>
            <w:vAlign w:val="center"/>
          </w:tcPr>
          <w:p w14:paraId="10FE9D81" w14:textId="77777777" w:rsidR="00AE2A46" w:rsidRPr="00801C6D" w:rsidRDefault="00AE2A46" w:rsidP="00B46A29">
            <w:pPr>
              <w:jc w:val="both"/>
              <w:rPr>
                <w:rFonts w:ascii="Arial" w:hAnsi="Arial" w:cs="Arial"/>
                <w:sz w:val="18"/>
                <w:szCs w:val="18"/>
              </w:rPr>
            </w:pPr>
          </w:p>
        </w:tc>
        <w:tc>
          <w:tcPr>
            <w:tcW w:w="1382" w:type="dxa"/>
            <w:vAlign w:val="center"/>
          </w:tcPr>
          <w:p w14:paraId="12ED085A" w14:textId="77777777" w:rsidR="00AE2A46" w:rsidRPr="00801C6D" w:rsidRDefault="00AE2A46" w:rsidP="00B46A29">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801C6D">
              <w:rPr>
                <w:rFonts w:ascii="Arial" w:hAnsi="Arial" w:cs="Arial"/>
                <w:sz w:val="18"/>
                <w:szCs w:val="18"/>
              </w:rPr>
              <w:t>% Weight loss</w:t>
            </w:r>
          </w:p>
        </w:tc>
        <w:tc>
          <w:tcPr>
            <w:tcW w:w="1621" w:type="dxa"/>
            <w:vAlign w:val="center"/>
          </w:tcPr>
          <w:p w14:paraId="2A6617CC" w14:textId="77777777" w:rsidR="00AE2A46" w:rsidRPr="00801C6D" w:rsidRDefault="00AE2A46" w:rsidP="00B46A29">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801C6D">
              <w:rPr>
                <w:rFonts w:ascii="Arial" w:hAnsi="Arial" w:cs="Arial"/>
                <w:sz w:val="18"/>
                <w:szCs w:val="18"/>
              </w:rPr>
              <w:t>70.85 ± 5.56 A</w:t>
            </w:r>
          </w:p>
        </w:tc>
        <w:tc>
          <w:tcPr>
            <w:tcW w:w="1978" w:type="dxa"/>
            <w:vAlign w:val="center"/>
          </w:tcPr>
          <w:p w14:paraId="29ABC24E" w14:textId="77777777" w:rsidR="00AE2A46" w:rsidRPr="00801C6D" w:rsidRDefault="00AE2A46" w:rsidP="00B46A29">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801C6D">
              <w:rPr>
                <w:rFonts w:ascii="Arial" w:hAnsi="Arial" w:cs="Arial"/>
                <w:sz w:val="18"/>
                <w:szCs w:val="18"/>
              </w:rPr>
              <w:t>71.20 ± 6.20 A</w:t>
            </w:r>
          </w:p>
        </w:tc>
        <w:tc>
          <w:tcPr>
            <w:tcW w:w="1978" w:type="dxa"/>
            <w:vAlign w:val="center"/>
          </w:tcPr>
          <w:p w14:paraId="3D49F1F8" w14:textId="77777777" w:rsidR="00AE2A46" w:rsidRPr="00801C6D" w:rsidRDefault="00AE2A46" w:rsidP="00B46A29">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801C6D">
              <w:rPr>
                <w:rFonts w:ascii="Arial" w:hAnsi="Arial" w:cs="Arial"/>
                <w:sz w:val="18"/>
                <w:szCs w:val="18"/>
              </w:rPr>
              <w:t>71.79 ± 5.30 A</w:t>
            </w:r>
          </w:p>
        </w:tc>
      </w:tr>
      <w:tr w:rsidR="00AE2A46" w:rsidRPr="00801C6D" w14:paraId="473793FD" w14:textId="77777777" w:rsidTr="00B46A29">
        <w:trPr>
          <w:trHeight w:val="437"/>
          <w:jc w:val="center"/>
        </w:trPr>
        <w:tc>
          <w:tcPr>
            <w:cnfStyle w:val="001000000000" w:firstRow="0" w:lastRow="0" w:firstColumn="1" w:lastColumn="0" w:oddVBand="0" w:evenVBand="0" w:oddHBand="0" w:evenHBand="0" w:firstRowFirstColumn="0" w:firstRowLastColumn="0" w:lastRowFirstColumn="0" w:lastRowLastColumn="0"/>
            <w:tcW w:w="1874" w:type="dxa"/>
            <w:vMerge w:val="restart"/>
            <w:vAlign w:val="center"/>
          </w:tcPr>
          <w:p w14:paraId="6BC389C6" w14:textId="77777777" w:rsidR="00AE2A46" w:rsidRPr="00801C6D" w:rsidRDefault="00AE2A46" w:rsidP="00B46A29">
            <w:pPr>
              <w:jc w:val="both"/>
              <w:rPr>
                <w:rFonts w:ascii="Arial" w:hAnsi="Arial" w:cs="Arial"/>
                <w:sz w:val="18"/>
                <w:szCs w:val="18"/>
              </w:rPr>
            </w:pPr>
            <w:r w:rsidRPr="00801C6D">
              <w:rPr>
                <w:rFonts w:ascii="Arial" w:hAnsi="Arial" w:cs="Arial"/>
                <w:sz w:val="18"/>
                <w:szCs w:val="18"/>
              </w:rPr>
              <w:t>Washability ±SD</w:t>
            </w:r>
          </w:p>
        </w:tc>
        <w:tc>
          <w:tcPr>
            <w:tcW w:w="1382" w:type="dxa"/>
            <w:vAlign w:val="center"/>
          </w:tcPr>
          <w:p w14:paraId="47895735" w14:textId="77777777" w:rsidR="00AE2A46" w:rsidRPr="00801C6D" w:rsidRDefault="00AE2A46" w:rsidP="00B46A29">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801C6D">
              <w:rPr>
                <w:rFonts w:ascii="Arial" w:hAnsi="Arial" w:cs="Arial"/>
                <w:sz w:val="18"/>
                <w:szCs w:val="18"/>
              </w:rPr>
              <w:t>Time taken (s)</w:t>
            </w:r>
          </w:p>
        </w:tc>
        <w:tc>
          <w:tcPr>
            <w:tcW w:w="1621" w:type="dxa"/>
            <w:vAlign w:val="center"/>
          </w:tcPr>
          <w:p w14:paraId="7AE363D8" w14:textId="77777777" w:rsidR="00AE2A46" w:rsidRPr="00801C6D" w:rsidRDefault="00AE2A46" w:rsidP="00B46A29">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801C6D">
              <w:rPr>
                <w:rFonts w:ascii="Arial" w:hAnsi="Arial" w:cs="Arial"/>
                <w:sz w:val="18"/>
                <w:szCs w:val="18"/>
              </w:rPr>
              <w:t>3.34 ±0.03A</w:t>
            </w:r>
          </w:p>
        </w:tc>
        <w:tc>
          <w:tcPr>
            <w:tcW w:w="1978" w:type="dxa"/>
            <w:vAlign w:val="center"/>
          </w:tcPr>
          <w:p w14:paraId="007A3C46" w14:textId="77777777" w:rsidR="00AE2A46" w:rsidRPr="00801C6D" w:rsidRDefault="00AE2A46" w:rsidP="00B46A29">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801C6D">
              <w:rPr>
                <w:rFonts w:ascii="Arial" w:hAnsi="Arial" w:cs="Arial"/>
                <w:sz w:val="18"/>
                <w:szCs w:val="18"/>
              </w:rPr>
              <w:t>3.11 ±0.01C</w:t>
            </w:r>
          </w:p>
        </w:tc>
        <w:tc>
          <w:tcPr>
            <w:tcW w:w="1978" w:type="dxa"/>
            <w:vAlign w:val="center"/>
          </w:tcPr>
          <w:p w14:paraId="6C6704FF" w14:textId="77777777" w:rsidR="00AE2A46" w:rsidRPr="00801C6D" w:rsidRDefault="00AE2A46" w:rsidP="00B46A29">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801C6D">
              <w:rPr>
                <w:rFonts w:ascii="Arial" w:hAnsi="Arial" w:cs="Arial"/>
                <w:sz w:val="18"/>
                <w:szCs w:val="18"/>
              </w:rPr>
              <w:t>3.24 ±0.02B</w:t>
            </w:r>
          </w:p>
        </w:tc>
      </w:tr>
      <w:tr w:rsidR="00AE2A46" w:rsidRPr="00801C6D" w14:paraId="5A8FB7B9" w14:textId="77777777" w:rsidTr="00B46A29">
        <w:trPr>
          <w:trHeight w:val="437"/>
          <w:jc w:val="center"/>
        </w:trPr>
        <w:tc>
          <w:tcPr>
            <w:cnfStyle w:val="001000000000" w:firstRow="0" w:lastRow="0" w:firstColumn="1" w:lastColumn="0" w:oddVBand="0" w:evenVBand="0" w:oddHBand="0" w:evenHBand="0" w:firstRowFirstColumn="0" w:firstRowLastColumn="0" w:lastRowFirstColumn="0" w:lastRowLastColumn="0"/>
            <w:tcW w:w="1874" w:type="dxa"/>
            <w:vMerge/>
            <w:vAlign w:val="center"/>
          </w:tcPr>
          <w:p w14:paraId="3A351EC3" w14:textId="77777777" w:rsidR="00AE2A46" w:rsidRPr="00801C6D" w:rsidRDefault="00AE2A46" w:rsidP="00B46A29">
            <w:pPr>
              <w:jc w:val="both"/>
              <w:rPr>
                <w:rFonts w:ascii="Arial" w:hAnsi="Arial" w:cs="Arial"/>
                <w:sz w:val="18"/>
                <w:szCs w:val="18"/>
              </w:rPr>
            </w:pPr>
          </w:p>
        </w:tc>
        <w:tc>
          <w:tcPr>
            <w:tcW w:w="1382" w:type="dxa"/>
            <w:vAlign w:val="center"/>
          </w:tcPr>
          <w:p w14:paraId="22E9EE1E" w14:textId="77777777" w:rsidR="00AE2A46" w:rsidRPr="00801C6D" w:rsidRDefault="00AE2A46" w:rsidP="00B46A29">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801C6D">
              <w:rPr>
                <w:rFonts w:ascii="Arial" w:hAnsi="Arial" w:cs="Arial"/>
                <w:sz w:val="18"/>
                <w:szCs w:val="18"/>
              </w:rPr>
              <w:t>Observation</w:t>
            </w:r>
          </w:p>
        </w:tc>
        <w:tc>
          <w:tcPr>
            <w:tcW w:w="1621" w:type="dxa"/>
            <w:vAlign w:val="center"/>
          </w:tcPr>
          <w:p w14:paraId="0360AF1F" w14:textId="77777777" w:rsidR="00AE2A46" w:rsidRPr="00801C6D" w:rsidRDefault="00AE2A46" w:rsidP="00B46A29">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801C6D">
              <w:rPr>
                <w:rFonts w:ascii="Arial" w:hAnsi="Arial" w:cs="Arial"/>
                <w:sz w:val="18"/>
                <w:szCs w:val="18"/>
              </w:rPr>
              <w:t>Easily washable</w:t>
            </w:r>
          </w:p>
        </w:tc>
        <w:tc>
          <w:tcPr>
            <w:tcW w:w="1978" w:type="dxa"/>
            <w:vAlign w:val="center"/>
          </w:tcPr>
          <w:p w14:paraId="2F2AF0E9" w14:textId="77777777" w:rsidR="00AE2A46" w:rsidRPr="00801C6D" w:rsidRDefault="00AE2A46" w:rsidP="00B46A29">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801C6D">
              <w:rPr>
                <w:rFonts w:ascii="Arial" w:hAnsi="Arial" w:cs="Arial"/>
                <w:sz w:val="18"/>
                <w:szCs w:val="18"/>
              </w:rPr>
              <w:t>Easily washable</w:t>
            </w:r>
          </w:p>
        </w:tc>
        <w:tc>
          <w:tcPr>
            <w:tcW w:w="1978" w:type="dxa"/>
            <w:vAlign w:val="center"/>
          </w:tcPr>
          <w:p w14:paraId="1D68DA69" w14:textId="77777777" w:rsidR="00AE2A46" w:rsidRPr="00801C6D" w:rsidRDefault="00AE2A46" w:rsidP="00B46A29">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801C6D">
              <w:rPr>
                <w:rFonts w:ascii="Arial" w:hAnsi="Arial" w:cs="Arial"/>
                <w:sz w:val="18"/>
                <w:szCs w:val="18"/>
              </w:rPr>
              <w:t>Easily washable</w:t>
            </w:r>
          </w:p>
        </w:tc>
      </w:tr>
      <w:tr w:rsidR="00AE2A46" w:rsidRPr="00801C6D" w14:paraId="37AF6E57" w14:textId="77777777" w:rsidTr="00B46A29">
        <w:trPr>
          <w:trHeight w:val="228"/>
          <w:jc w:val="center"/>
        </w:trPr>
        <w:tc>
          <w:tcPr>
            <w:cnfStyle w:val="001000000000" w:firstRow="0" w:lastRow="0" w:firstColumn="1" w:lastColumn="0" w:oddVBand="0" w:evenVBand="0" w:oddHBand="0" w:evenHBand="0" w:firstRowFirstColumn="0" w:firstRowLastColumn="0" w:lastRowFirstColumn="0" w:lastRowLastColumn="0"/>
            <w:tcW w:w="1874" w:type="dxa"/>
            <w:vMerge w:val="restart"/>
            <w:vAlign w:val="center"/>
          </w:tcPr>
          <w:p w14:paraId="56881C48" w14:textId="77777777" w:rsidR="00AE2A46" w:rsidRPr="00801C6D" w:rsidRDefault="00AE2A46" w:rsidP="00B46A29">
            <w:pPr>
              <w:jc w:val="both"/>
              <w:rPr>
                <w:rFonts w:ascii="Arial" w:hAnsi="Arial" w:cs="Arial"/>
                <w:sz w:val="18"/>
                <w:szCs w:val="18"/>
              </w:rPr>
            </w:pPr>
            <w:r w:rsidRPr="00801C6D">
              <w:rPr>
                <w:rFonts w:ascii="Arial" w:hAnsi="Arial" w:cs="Arial"/>
                <w:sz w:val="18"/>
                <w:szCs w:val="18"/>
              </w:rPr>
              <w:t>Organoleptic</w:t>
            </w:r>
          </w:p>
        </w:tc>
        <w:tc>
          <w:tcPr>
            <w:tcW w:w="1382" w:type="dxa"/>
            <w:vAlign w:val="center"/>
          </w:tcPr>
          <w:p w14:paraId="3EB1DB76" w14:textId="77777777" w:rsidR="00AE2A46" w:rsidRPr="00801C6D" w:rsidRDefault="00AE2A46" w:rsidP="00B46A29">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801C6D">
              <w:rPr>
                <w:rFonts w:ascii="Arial" w:hAnsi="Arial" w:cs="Arial"/>
                <w:sz w:val="18"/>
                <w:szCs w:val="18"/>
              </w:rPr>
              <w:t>Odour</w:t>
            </w:r>
          </w:p>
        </w:tc>
        <w:tc>
          <w:tcPr>
            <w:tcW w:w="1621" w:type="dxa"/>
            <w:vAlign w:val="center"/>
          </w:tcPr>
          <w:p w14:paraId="483D0786" w14:textId="77777777" w:rsidR="00AE2A46" w:rsidRPr="00801C6D" w:rsidRDefault="00AE2A46" w:rsidP="00B46A29">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801C6D">
              <w:rPr>
                <w:rFonts w:ascii="Arial" w:hAnsi="Arial" w:cs="Arial"/>
                <w:sz w:val="18"/>
                <w:szCs w:val="18"/>
              </w:rPr>
              <w:t>Pleasant</w:t>
            </w:r>
          </w:p>
        </w:tc>
        <w:tc>
          <w:tcPr>
            <w:tcW w:w="1978" w:type="dxa"/>
            <w:vAlign w:val="center"/>
          </w:tcPr>
          <w:p w14:paraId="6856685C" w14:textId="77777777" w:rsidR="00AE2A46" w:rsidRPr="00801C6D" w:rsidRDefault="00AE2A46" w:rsidP="00B46A29">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801C6D">
              <w:rPr>
                <w:rFonts w:ascii="Arial" w:hAnsi="Arial" w:cs="Arial"/>
                <w:sz w:val="18"/>
                <w:szCs w:val="18"/>
              </w:rPr>
              <w:t>Pleasant</w:t>
            </w:r>
          </w:p>
        </w:tc>
        <w:tc>
          <w:tcPr>
            <w:tcW w:w="1978" w:type="dxa"/>
            <w:vAlign w:val="center"/>
          </w:tcPr>
          <w:p w14:paraId="55EE729A" w14:textId="77777777" w:rsidR="00AE2A46" w:rsidRPr="00801C6D" w:rsidRDefault="00AE2A46" w:rsidP="00B46A29">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801C6D">
              <w:rPr>
                <w:rFonts w:ascii="Arial" w:hAnsi="Arial" w:cs="Arial"/>
                <w:sz w:val="18"/>
                <w:szCs w:val="18"/>
              </w:rPr>
              <w:t>Pleasant</w:t>
            </w:r>
          </w:p>
        </w:tc>
      </w:tr>
      <w:tr w:rsidR="00AE2A46" w:rsidRPr="00801C6D" w14:paraId="1218D95F" w14:textId="77777777" w:rsidTr="00B46A29">
        <w:trPr>
          <w:trHeight w:val="342"/>
          <w:jc w:val="center"/>
        </w:trPr>
        <w:tc>
          <w:tcPr>
            <w:cnfStyle w:val="001000000000" w:firstRow="0" w:lastRow="0" w:firstColumn="1" w:lastColumn="0" w:oddVBand="0" w:evenVBand="0" w:oddHBand="0" w:evenHBand="0" w:firstRowFirstColumn="0" w:firstRowLastColumn="0" w:lastRowFirstColumn="0" w:lastRowLastColumn="0"/>
            <w:tcW w:w="1874" w:type="dxa"/>
            <w:vMerge/>
            <w:vAlign w:val="center"/>
          </w:tcPr>
          <w:p w14:paraId="6028C4C3" w14:textId="77777777" w:rsidR="00AE2A46" w:rsidRPr="00801C6D" w:rsidRDefault="00AE2A46" w:rsidP="00B46A29">
            <w:pPr>
              <w:jc w:val="both"/>
              <w:rPr>
                <w:rFonts w:ascii="Arial" w:hAnsi="Arial" w:cs="Arial"/>
                <w:sz w:val="18"/>
                <w:szCs w:val="18"/>
              </w:rPr>
            </w:pPr>
          </w:p>
        </w:tc>
        <w:tc>
          <w:tcPr>
            <w:tcW w:w="1382" w:type="dxa"/>
            <w:vAlign w:val="center"/>
          </w:tcPr>
          <w:p w14:paraId="17115FC8" w14:textId="77777777" w:rsidR="00AE2A46" w:rsidRPr="00801C6D" w:rsidRDefault="00AE2A46" w:rsidP="00B46A29">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801C6D">
              <w:rPr>
                <w:rFonts w:ascii="Arial" w:hAnsi="Arial" w:cs="Arial"/>
                <w:sz w:val="18"/>
                <w:szCs w:val="18"/>
              </w:rPr>
              <w:t>Texture</w:t>
            </w:r>
          </w:p>
        </w:tc>
        <w:tc>
          <w:tcPr>
            <w:tcW w:w="1621" w:type="dxa"/>
            <w:vAlign w:val="center"/>
          </w:tcPr>
          <w:p w14:paraId="10944790" w14:textId="77777777" w:rsidR="00AE2A46" w:rsidRPr="00801C6D" w:rsidRDefault="00AE2A46" w:rsidP="00B46A29">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801C6D">
              <w:rPr>
                <w:rFonts w:ascii="Arial" w:hAnsi="Arial" w:cs="Arial"/>
                <w:sz w:val="18"/>
                <w:szCs w:val="18"/>
              </w:rPr>
              <w:t>Smooth</w:t>
            </w:r>
          </w:p>
        </w:tc>
        <w:tc>
          <w:tcPr>
            <w:tcW w:w="1978" w:type="dxa"/>
            <w:vAlign w:val="center"/>
          </w:tcPr>
          <w:p w14:paraId="238A12DD" w14:textId="77777777" w:rsidR="00AE2A46" w:rsidRPr="00801C6D" w:rsidRDefault="00AE2A46" w:rsidP="00B46A29">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801C6D">
              <w:rPr>
                <w:rFonts w:ascii="Arial" w:hAnsi="Arial" w:cs="Arial"/>
                <w:sz w:val="18"/>
                <w:szCs w:val="18"/>
              </w:rPr>
              <w:t>Smooth</w:t>
            </w:r>
          </w:p>
        </w:tc>
        <w:tc>
          <w:tcPr>
            <w:tcW w:w="1978" w:type="dxa"/>
            <w:vAlign w:val="center"/>
          </w:tcPr>
          <w:p w14:paraId="030280EE" w14:textId="77777777" w:rsidR="00AE2A46" w:rsidRPr="00801C6D" w:rsidRDefault="00AE2A46" w:rsidP="00B46A29">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801C6D">
              <w:rPr>
                <w:rFonts w:ascii="Arial" w:hAnsi="Arial" w:cs="Arial"/>
                <w:sz w:val="18"/>
                <w:szCs w:val="18"/>
              </w:rPr>
              <w:t>Smooth</w:t>
            </w:r>
          </w:p>
        </w:tc>
      </w:tr>
      <w:tr w:rsidR="00AE2A46" w:rsidRPr="00801C6D" w14:paraId="5134318B" w14:textId="77777777" w:rsidTr="00B46A29">
        <w:trPr>
          <w:trHeight w:val="342"/>
          <w:jc w:val="center"/>
        </w:trPr>
        <w:tc>
          <w:tcPr>
            <w:cnfStyle w:val="001000000000" w:firstRow="0" w:lastRow="0" w:firstColumn="1" w:lastColumn="0" w:oddVBand="0" w:evenVBand="0" w:oddHBand="0" w:evenHBand="0" w:firstRowFirstColumn="0" w:firstRowLastColumn="0" w:lastRowFirstColumn="0" w:lastRowLastColumn="0"/>
            <w:tcW w:w="1874" w:type="dxa"/>
            <w:vMerge/>
            <w:vAlign w:val="center"/>
          </w:tcPr>
          <w:p w14:paraId="5E57B9C0" w14:textId="77777777" w:rsidR="00AE2A46" w:rsidRPr="00801C6D" w:rsidRDefault="00AE2A46" w:rsidP="00B46A29">
            <w:pPr>
              <w:jc w:val="both"/>
              <w:rPr>
                <w:rFonts w:ascii="Arial" w:hAnsi="Arial" w:cs="Arial"/>
                <w:sz w:val="18"/>
                <w:szCs w:val="18"/>
              </w:rPr>
            </w:pPr>
          </w:p>
        </w:tc>
        <w:tc>
          <w:tcPr>
            <w:tcW w:w="1382" w:type="dxa"/>
            <w:vAlign w:val="center"/>
          </w:tcPr>
          <w:p w14:paraId="667DD9FB" w14:textId="77777777" w:rsidR="00AE2A46" w:rsidRPr="00801C6D" w:rsidRDefault="00AE2A46" w:rsidP="00B46A29">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801C6D">
              <w:rPr>
                <w:rFonts w:ascii="Arial" w:hAnsi="Arial" w:cs="Arial"/>
                <w:sz w:val="18"/>
                <w:szCs w:val="18"/>
              </w:rPr>
              <w:t>Colour</w:t>
            </w:r>
          </w:p>
        </w:tc>
        <w:tc>
          <w:tcPr>
            <w:tcW w:w="1621" w:type="dxa"/>
            <w:vAlign w:val="center"/>
          </w:tcPr>
          <w:p w14:paraId="05206D38" w14:textId="77777777" w:rsidR="00AE2A46" w:rsidRPr="00801C6D" w:rsidRDefault="00AE2A46" w:rsidP="00B46A29">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801C6D">
              <w:rPr>
                <w:rFonts w:ascii="Arial" w:hAnsi="Arial" w:cs="Arial"/>
                <w:sz w:val="18"/>
                <w:szCs w:val="18"/>
              </w:rPr>
              <w:t>White</w:t>
            </w:r>
          </w:p>
        </w:tc>
        <w:tc>
          <w:tcPr>
            <w:tcW w:w="1978" w:type="dxa"/>
            <w:vAlign w:val="center"/>
          </w:tcPr>
          <w:p w14:paraId="480ABA8F" w14:textId="77777777" w:rsidR="00AE2A46" w:rsidRPr="00801C6D" w:rsidRDefault="00AE2A46" w:rsidP="00B46A29">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801C6D">
              <w:rPr>
                <w:rFonts w:ascii="Arial" w:hAnsi="Arial" w:cs="Arial"/>
                <w:sz w:val="18"/>
                <w:szCs w:val="18"/>
              </w:rPr>
              <w:t>Yellowish cream</w:t>
            </w:r>
          </w:p>
        </w:tc>
        <w:tc>
          <w:tcPr>
            <w:tcW w:w="1978" w:type="dxa"/>
            <w:vAlign w:val="center"/>
          </w:tcPr>
          <w:p w14:paraId="5EA3E926" w14:textId="77777777" w:rsidR="00AE2A46" w:rsidRPr="00801C6D" w:rsidRDefault="00AE2A46" w:rsidP="00B46A29">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801C6D">
              <w:rPr>
                <w:rFonts w:ascii="Arial" w:hAnsi="Arial" w:cs="Arial"/>
                <w:sz w:val="18"/>
                <w:szCs w:val="18"/>
              </w:rPr>
              <w:t>Yellowish cream</w:t>
            </w:r>
          </w:p>
        </w:tc>
      </w:tr>
      <w:tr w:rsidR="00AE2A46" w:rsidRPr="00801C6D" w14:paraId="0823DA37" w14:textId="77777777" w:rsidTr="00B46A29">
        <w:trPr>
          <w:trHeight w:val="145"/>
          <w:jc w:val="center"/>
        </w:trPr>
        <w:tc>
          <w:tcPr>
            <w:cnfStyle w:val="001000000000" w:firstRow="0" w:lastRow="0" w:firstColumn="1" w:lastColumn="0" w:oddVBand="0" w:evenVBand="0" w:oddHBand="0" w:evenHBand="0" w:firstRowFirstColumn="0" w:firstRowLastColumn="0" w:lastRowFirstColumn="0" w:lastRowLastColumn="0"/>
            <w:tcW w:w="1874" w:type="dxa"/>
            <w:vMerge w:val="restart"/>
            <w:vAlign w:val="center"/>
          </w:tcPr>
          <w:p w14:paraId="5A5D7A0F" w14:textId="77777777" w:rsidR="00AE2A46" w:rsidRPr="00801C6D" w:rsidRDefault="00AE2A46" w:rsidP="00B46A29">
            <w:pPr>
              <w:jc w:val="both"/>
              <w:rPr>
                <w:rFonts w:ascii="Arial" w:hAnsi="Arial" w:cs="Arial"/>
                <w:sz w:val="18"/>
                <w:szCs w:val="18"/>
              </w:rPr>
            </w:pPr>
            <w:r w:rsidRPr="00801C6D">
              <w:rPr>
                <w:rFonts w:ascii="Arial" w:hAnsi="Arial" w:cs="Arial"/>
                <w:sz w:val="18"/>
                <w:szCs w:val="18"/>
              </w:rPr>
              <w:t>Homogeneity</w:t>
            </w:r>
          </w:p>
        </w:tc>
        <w:tc>
          <w:tcPr>
            <w:tcW w:w="1382" w:type="dxa"/>
            <w:vAlign w:val="center"/>
          </w:tcPr>
          <w:p w14:paraId="4F20861D" w14:textId="77777777" w:rsidR="00AE2A46" w:rsidRPr="00801C6D" w:rsidRDefault="00AE2A46" w:rsidP="00B46A29">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801C6D">
              <w:rPr>
                <w:rFonts w:ascii="Arial" w:hAnsi="Arial" w:cs="Arial"/>
                <w:sz w:val="18"/>
                <w:szCs w:val="18"/>
              </w:rPr>
              <w:t>Greasiness</w:t>
            </w:r>
          </w:p>
        </w:tc>
        <w:tc>
          <w:tcPr>
            <w:tcW w:w="1621" w:type="dxa"/>
            <w:vAlign w:val="center"/>
          </w:tcPr>
          <w:p w14:paraId="2DC5D942" w14:textId="77777777" w:rsidR="00AE2A46" w:rsidRPr="00801C6D" w:rsidRDefault="00AE2A46" w:rsidP="00B46A29">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801C6D">
              <w:rPr>
                <w:rFonts w:ascii="Arial" w:hAnsi="Arial" w:cs="Arial"/>
                <w:sz w:val="18"/>
                <w:szCs w:val="18"/>
              </w:rPr>
              <w:t>Non-greasy</w:t>
            </w:r>
          </w:p>
        </w:tc>
        <w:tc>
          <w:tcPr>
            <w:tcW w:w="1978" w:type="dxa"/>
            <w:vAlign w:val="center"/>
          </w:tcPr>
          <w:p w14:paraId="1A2C80D6" w14:textId="77777777" w:rsidR="00AE2A46" w:rsidRPr="00801C6D" w:rsidRDefault="00AE2A46" w:rsidP="00B46A29">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801C6D">
              <w:rPr>
                <w:rFonts w:ascii="Arial" w:hAnsi="Arial" w:cs="Arial"/>
                <w:sz w:val="18"/>
                <w:szCs w:val="18"/>
              </w:rPr>
              <w:t>Non-greasy</w:t>
            </w:r>
          </w:p>
        </w:tc>
        <w:tc>
          <w:tcPr>
            <w:tcW w:w="1978" w:type="dxa"/>
            <w:vAlign w:val="center"/>
          </w:tcPr>
          <w:p w14:paraId="38574CA3" w14:textId="77777777" w:rsidR="00AE2A46" w:rsidRPr="00801C6D" w:rsidRDefault="00AE2A46" w:rsidP="00B46A29">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801C6D">
              <w:rPr>
                <w:rFonts w:ascii="Arial" w:hAnsi="Arial" w:cs="Arial"/>
                <w:sz w:val="18"/>
                <w:szCs w:val="18"/>
              </w:rPr>
              <w:t>Non-greasy</w:t>
            </w:r>
          </w:p>
        </w:tc>
      </w:tr>
      <w:tr w:rsidR="00AE2A46" w:rsidRPr="00801C6D" w14:paraId="02850264" w14:textId="77777777" w:rsidTr="00B46A29">
        <w:trPr>
          <w:trHeight w:val="144"/>
          <w:jc w:val="center"/>
        </w:trPr>
        <w:tc>
          <w:tcPr>
            <w:cnfStyle w:val="001000000000" w:firstRow="0" w:lastRow="0" w:firstColumn="1" w:lastColumn="0" w:oddVBand="0" w:evenVBand="0" w:oddHBand="0" w:evenHBand="0" w:firstRowFirstColumn="0" w:firstRowLastColumn="0" w:lastRowFirstColumn="0" w:lastRowLastColumn="0"/>
            <w:tcW w:w="1874" w:type="dxa"/>
            <w:vMerge/>
            <w:vAlign w:val="center"/>
          </w:tcPr>
          <w:p w14:paraId="62773104" w14:textId="77777777" w:rsidR="00AE2A46" w:rsidRPr="00801C6D" w:rsidRDefault="00AE2A46" w:rsidP="00B46A29">
            <w:pPr>
              <w:jc w:val="both"/>
              <w:rPr>
                <w:rFonts w:ascii="Arial" w:hAnsi="Arial" w:cs="Arial"/>
                <w:sz w:val="18"/>
                <w:szCs w:val="18"/>
              </w:rPr>
            </w:pPr>
          </w:p>
        </w:tc>
        <w:tc>
          <w:tcPr>
            <w:tcW w:w="1382" w:type="dxa"/>
            <w:vAlign w:val="center"/>
          </w:tcPr>
          <w:p w14:paraId="11A059C5" w14:textId="77777777" w:rsidR="00AE2A46" w:rsidRPr="00801C6D" w:rsidRDefault="00AE2A46" w:rsidP="00B46A29">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801C6D">
              <w:rPr>
                <w:rFonts w:ascii="Arial" w:hAnsi="Arial" w:cs="Arial"/>
                <w:sz w:val="18"/>
                <w:szCs w:val="18"/>
              </w:rPr>
              <w:t>Skin sensation</w:t>
            </w:r>
          </w:p>
        </w:tc>
        <w:tc>
          <w:tcPr>
            <w:tcW w:w="1621" w:type="dxa"/>
            <w:vAlign w:val="center"/>
          </w:tcPr>
          <w:p w14:paraId="4FA0A2F2" w14:textId="77777777" w:rsidR="00AE2A46" w:rsidRPr="00801C6D" w:rsidRDefault="00AE2A46" w:rsidP="00B46A29">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801C6D">
              <w:rPr>
                <w:rFonts w:ascii="Arial" w:hAnsi="Arial" w:cs="Arial"/>
                <w:sz w:val="18"/>
                <w:szCs w:val="18"/>
              </w:rPr>
              <w:t>No sensation</w:t>
            </w:r>
          </w:p>
        </w:tc>
        <w:tc>
          <w:tcPr>
            <w:tcW w:w="1978" w:type="dxa"/>
            <w:vAlign w:val="center"/>
          </w:tcPr>
          <w:p w14:paraId="60980996" w14:textId="77777777" w:rsidR="00AE2A46" w:rsidRPr="00801C6D" w:rsidRDefault="00AE2A46" w:rsidP="00B46A29">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801C6D">
              <w:rPr>
                <w:rFonts w:ascii="Arial" w:hAnsi="Arial" w:cs="Arial"/>
                <w:sz w:val="18"/>
                <w:szCs w:val="18"/>
              </w:rPr>
              <w:t>No sensation</w:t>
            </w:r>
          </w:p>
        </w:tc>
        <w:tc>
          <w:tcPr>
            <w:tcW w:w="1978" w:type="dxa"/>
            <w:vAlign w:val="center"/>
          </w:tcPr>
          <w:p w14:paraId="43B49A01" w14:textId="77777777" w:rsidR="00AE2A46" w:rsidRPr="00801C6D" w:rsidRDefault="00AE2A46" w:rsidP="00B46A29">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801C6D">
              <w:rPr>
                <w:rFonts w:ascii="Arial" w:hAnsi="Arial" w:cs="Arial"/>
                <w:sz w:val="18"/>
                <w:szCs w:val="18"/>
              </w:rPr>
              <w:t>No sensation</w:t>
            </w:r>
          </w:p>
        </w:tc>
      </w:tr>
      <w:tr w:rsidR="00AE2A46" w:rsidRPr="00801C6D" w14:paraId="02A33EF1" w14:textId="77777777" w:rsidTr="00B46A29">
        <w:trPr>
          <w:trHeight w:val="144"/>
          <w:jc w:val="center"/>
        </w:trPr>
        <w:tc>
          <w:tcPr>
            <w:cnfStyle w:val="001000000000" w:firstRow="0" w:lastRow="0" w:firstColumn="1" w:lastColumn="0" w:oddVBand="0" w:evenVBand="0" w:oddHBand="0" w:evenHBand="0" w:firstRowFirstColumn="0" w:firstRowLastColumn="0" w:lastRowFirstColumn="0" w:lastRowLastColumn="0"/>
            <w:tcW w:w="1874" w:type="dxa"/>
            <w:vMerge/>
            <w:vAlign w:val="center"/>
          </w:tcPr>
          <w:p w14:paraId="43B96AA1" w14:textId="77777777" w:rsidR="00AE2A46" w:rsidRPr="00801C6D" w:rsidRDefault="00AE2A46" w:rsidP="00B46A29">
            <w:pPr>
              <w:jc w:val="both"/>
              <w:rPr>
                <w:rFonts w:ascii="Arial" w:hAnsi="Arial" w:cs="Arial"/>
                <w:sz w:val="18"/>
                <w:szCs w:val="18"/>
              </w:rPr>
            </w:pPr>
          </w:p>
        </w:tc>
        <w:tc>
          <w:tcPr>
            <w:tcW w:w="1382" w:type="dxa"/>
            <w:vAlign w:val="center"/>
          </w:tcPr>
          <w:p w14:paraId="3B3C7417" w14:textId="77777777" w:rsidR="00AE2A46" w:rsidRPr="00801C6D" w:rsidRDefault="00AE2A46" w:rsidP="00B46A29">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801C6D">
              <w:rPr>
                <w:rFonts w:ascii="Arial" w:hAnsi="Arial" w:cs="Arial"/>
                <w:sz w:val="18"/>
                <w:szCs w:val="18"/>
              </w:rPr>
              <w:t>Grittiness</w:t>
            </w:r>
          </w:p>
        </w:tc>
        <w:tc>
          <w:tcPr>
            <w:tcW w:w="1621" w:type="dxa"/>
            <w:vAlign w:val="center"/>
          </w:tcPr>
          <w:p w14:paraId="193E596B" w14:textId="77777777" w:rsidR="00AE2A46" w:rsidRPr="00801C6D" w:rsidRDefault="00AE2A46" w:rsidP="00B46A29">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801C6D">
              <w:rPr>
                <w:rFonts w:ascii="Arial" w:hAnsi="Arial" w:cs="Arial"/>
                <w:sz w:val="18"/>
                <w:szCs w:val="18"/>
              </w:rPr>
              <w:t>No apparent grains</w:t>
            </w:r>
          </w:p>
        </w:tc>
        <w:tc>
          <w:tcPr>
            <w:tcW w:w="1978" w:type="dxa"/>
            <w:vAlign w:val="center"/>
          </w:tcPr>
          <w:p w14:paraId="07F92728" w14:textId="77777777" w:rsidR="00AE2A46" w:rsidRPr="00801C6D" w:rsidRDefault="00AE2A46" w:rsidP="00B46A29">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801C6D">
              <w:rPr>
                <w:rFonts w:ascii="Arial" w:hAnsi="Arial" w:cs="Arial"/>
                <w:sz w:val="18"/>
                <w:szCs w:val="18"/>
              </w:rPr>
              <w:t>No apparent grains</w:t>
            </w:r>
          </w:p>
        </w:tc>
        <w:tc>
          <w:tcPr>
            <w:tcW w:w="1978" w:type="dxa"/>
            <w:vAlign w:val="center"/>
          </w:tcPr>
          <w:p w14:paraId="7C5FCF5E" w14:textId="77777777" w:rsidR="00AE2A46" w:rsidRPr="00801C6D" w:rsidRDefault="00AE2A46" w:rsidP="00B46A29">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801C6D">
              <w:rPr>
                <w:rFonts w:ascii="Arial" w:hAnsi="Arial" w:cs="Arial"/>
                <w:sz w:val="18"/>
                <w:szCs w:val="18"/>
              </w:rPr>
              <w:t>No apparent grains</w:t>
            </w:r>
          </w:p>
        </w:tc>
      </w:tr>
    </w:tbl>
    <w:p w14:paraId="4BB24558" w14:textId="77777777" w:rsidR="00AE2A46" w:rsidRDefault="00AE2A46" w:rsidP="00AE2A46">
      <w:pPr>
        <w:spacing w:after="120"/>
        <w:jc w:val="both"/>
        <w:rPr>
          <w:rFonts w:ascii="Arial" w:hAnsi="Arial" w:cs="Arial"/>
          <w:i/>
          <w:iCs/>
          <w:sz w:val="18"/>
          <w:szCs w:val="18"/>
        </w:rPr>
      </w:pPr>
      <w:r w:rsidRPr="00801C6D">
        <w:rPr>
          <w:rFonts w:ascii="Arial" w:hAnsi="Arial" w:cs="Arial"/>
          <w:sz w:val="20"/>
          <w:szCs w:val="20"/>
        </w:rPr>
        <w:t xml:space="preserve">     </w:t>
      </w:r>
      <w:r w:rsidRPr="00801C6D">
        <w:rPr>
          <w:rFonts w:ascii="Arial" w:hAnsi="Arial" w:cs="Arial"/>
          <w:i/>
          <w:iCs/>
          <w:sz w:val="18"/>
          <w:szCs w:val="18"/>
        </w:rPr>
        <w:t>Values with no shared letters vary significantly at p&lt;0.05, SD = standard deviation</w:t>
      </w:r>
    </w:p>
    <w:p w14:paraId="7AEC0BFA" w14:textId="77777777" w:rsidR="007B734B" w:rsidRPr="00801C6D" w:rsidRDefault="007B734B" w:rsidP="00AE2A46">
      <w:pPr>
        <w:spacing w:after="120"/>
        <w:jc w:val="both"/>
        <w:rPr>
          <w:rFonts w:ascii="Arial" w:hAnsi="Arial" w:cs="Arial"/>
          <w:i/>
          <w:iCs/>
          <w:sz w:val="18"/>
          <w:szCs w:val="18"/>
        </w:rPr>
      </w:pPr>
    </w:p>
    <w:p w14:paraId="111B17BE" w14:textId="77777777" w:rsidR="00AE2A46" w:rsidRPr="00801C6D" w:rsidRDefault="00AE2A46" w:rsidP="00AE2A46">
      <w:pPr>
        <w:spacing w:after="120"/>
        <w:jc w:val="center"/>
        <w:rPr>
          <w:rFonts w:ascii="Arial" w:hAnsi="Arial" w:cs="Arial"/>
          <w:sz w:val="20"/>
          <w:szCs w:val="20"/>
        </w:rPr>
      </w:pPr>
      <w:r w:rsidRPr="00801C6D">
        <w:rPr>
          <w:rFonts w:ascii="Arial" w:hAnsi="Arial" w:cs="Arial"/>
          <w:noProof/>
          <w:sz w:val="20"/>
          <w:szCs w:val="20"/>
        </w:rPr>
        <w:drawing>
          <wp:inline distT="0" distB="0" distL="0" distR="0" wp14:anchorId="5FF5EDA9" wp14:editId="2B85239F">
            <wp:extent cx="1926319" cy="2952750"/>
            <wp:effectExtent l="38100" t="38100" r="36195" b="38100"/>
            <wp:docPr id="1443514821" name="Picture 3" descr="A close up of a test tub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23605153" name="Picture 3" descr="A close up of a test tube&#10;&#10;Description automatically generated"/>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950122" cy="2989237"/>
                    </a:xfrm>
                    <a:prstGeom prst="rect">
                      <a:avLst/>
                    </a:prstGeom>
                    <a:noFill/>
                    <a:ln w="31750" cmpd="thickThin">
                      <a:solidFill>
                        <a:srgbClr val="7030A0"/>
                      </a:solidFill>
                    </a:ln>
                  </pic:spPr>
                </pic:pic>
              </a:graphicData>
            </a:graphic>
          </wp:inline>
        </w:drawing>
      </w:r>
    </w:p>
    <w:p w14:paraId="576A852D" w14:textId="77777777" w:rsidR="00AE2A46" w:rsidRDefault="00AE2A46" w:rsidP="00AE2A46">
      <w:pPr>
        <w:spacing w:after="120"/>
        <w:jc w:val="center"/>
        <w:rPr>
          <w:rFonts w:ascii="Arial" w:hAnsi="Arial" w:cs="Arial"/>
          <w:i/>
          <w:iCs/>
          <w:sz w:val="20"/>
          <w:szCs w:val="20"/>
        </w:rPr>
      </w:pPr>
      <w:r w:rsidRPr="00801C6D">
        <w:rPr>
          <w:rFonts w:ascii="Arial" w:hAnsi="Arial" w:cs="Arial"/>
          <w:b/>
          <w:bCs/>
          <w:i/>
          <w:iCs/>
          <w:sz w:val="20"/>
          <w:szCs w:val="20"/>
        </w:rPr>
        <w:t>Figure 1:</w:t>
      </w:r>
      <w:r w:rsidRPr="00801C6D">
        <w:rPr>
          <w:rFonts w:ascii="Arial" w:hAnsi="Arial" w:cs="Arial"/>
          <w:i/>
          <w:iCs/>
          <w:sz w:val="20"/>
          <w:szCs w:val="20"/>
        </w:rPr>
        <w:t xml:space="preserve"> Dilution Test Result of F1, F2 And F3 Formulation</w:t>
      </w:r>
    </w:p>
    <w:p w14:paraId="2530868D" w14:textId="77777777" w:rsidR="00DC1390" w:rsidRDefault="00DC1390" w:rsidP="00AE2A46">
      <w:pPr>
        <w:spacing w:after="120"/>
        <w:jc w:val="center"/>
        <w:rPr>
          <w:rFonts w:ascii="Arial" w:hAnsi="Arial" w:cs="Arial"/>
          <w:i/>
          <w:iCs/>
          <w:sz w:val="20"/>
          <w:szCs w:val="20"/>
        </w:rPr>
      </w:pPr>
    </w:p>
    <w:p w14:paraId="7FA57405" w14:textId="77777777" w:rsidR="00DC1390" w:rsidRDefault="00DC1390" w:rsidP="00AE2A46">
      <w:pPr>
        <w:spacing w:after="120"/>
        <w:jc w:val="center"/>
        <w:rPr>
          <w:rFonts w:ascii="Arial" w:hAnsi="Arial" w:cs="Arial"/>
          <w:i/>
          <w:iCs/>
          <w:sz w:val="20"/>
          <w:szCs w:val="20"/>
        </w:rPr>
      </w:pPr>
    </w:p>
    <w:p w14:paraId="62720415" w14:textId="77777777" w:rsidR="00DC1390" w:rsidRDefault="00DC1390" w:rsidP="00AE2A46">
      <w:pPr>
        <w:spacing w:after="120"/>
        <w:jc w:val="center"/>
        <w:rPr>
          <w:rFonts w:ascii="Arial" w:hAnsi="Arial" w:cs="Arial"/>
          <w:i/>
          <w:iCs/>
          <w:sz w:val="20"/>
          <w:szCs w:val="20"/>
        </w:rPr>
      </w:pPr>
    </w:p>
    <w:p w14:paraId="474111BC" w14:textId="77777777" w:rsidR="00DC1390" w:rsidRDefault="00DC1390" w:rsidP="00AE2A46">
      <w:pPr>
        <w:spacing w:after="120"/>
        <w:jc w:val="center"/>
        <w:rPr>
          <w:rFonts w:ascii="Arial" w:hAnsi="Arial" w:cs="Arial"/>
          <w:i/>
          <w:iCs/>
          <w:sz w:val="20"/>
          <w:szCs w:val="20"/>
        </w:rPr>
      </w:pPr>
    </w:p>
    <w:tbl>
      <w:tblPr>
        <w:tblStyle w:val="PlainTable5"/>
        <w:tblW w:w="0" w:type="auto"/>
        <w:jc w:val="center"/>
        <w:tblBorders>
          <w:top w:val="thinThickSmallGap" w:sz="18" w:space="0" w:color="7030A0"/>
          <w:left w:val="thinThickSmallGap" w:sz="18" w:space="0" w:color="7030A0"/>
          <w:bottom w:val="thickThinSmallGap" w:sz="18" w:space="0" w:color="7030A0"/>
          <w:right w:val="thickThinSmallGap" w:sz="18" w:space="0" w:color="7030A0"/>
        </w:tblBorders>
        <w:tblLayout w:type="fixed"/>
        <w:tblLook w:val="04A0" w:firstRow="1" w:lastRow="0" w:firstColumn="1" w:lastColumn="0" w:noHBand="0" w:noVBand="1"/>
      </w:tblPr>
      <w:tblGrid>
        <w:gridCol w:w="654"/>
        <w:gridCol w:w="3532"/>
        <w:gridCol w:w="3370"/>
      </w:tblGrid>
      <w:tr w:rsidR="00AE2A46" w:rsidRPr="00801C6D" w14:paraId="3D5759C2" w14:textId="77777777" w:rsidTr="007B734B">
        <w:trPr>
          <w:cnfStyle w:val="100000000000" w:firstRow="1" w:lastRow="0" w:firstColumn="0" w:lastColumn="0" w:oddVBand="0" w:evenVBand="0" w:oddHBand="0" w:evenHBand="0" w:firstRowFirstColumn="0" w:firstRowLastColumn="0" w:lastRowFirstColumn="0" w:lastRowLastColumn="0"/>
          <w:trHeight w:val="259"/>
          <w:jc w:val="center"/>
        </w:trPr>
        <w:tc>
          <w:tcPr>
            <w:cnfStyle w:val="001000000100" w:firstRow="0" w:lastRow="0" w:firstColumn="1" w:lastColumn="0" w:oddVBand="0" w:evenVBand="0" w:oddHBand="0" w:evenHBand="0" w:firstRowFirstColumn="1" w:firstRowLastColumn="0" w:lastRowFirstColumn="0" w:lastRowLastColumn="0"/>
            <w:tcW w:w="654" w:type="dxa"/>
            <w:tcBorders>
              <w:bottom w:val="none" w:sz="0" w:space="0" w:color="auto"/>
              <w:right w:val="none" w:sz="0" w:space="0" w:color="auto"/>
            </w:tcBorders>
            <w:shd w:val="clear" w:color="auto" w:fill="auto"/>
            <w:vAlign w:val="center"/>
          </w:tcPr>
          <w:p w14:paraId="2C83EF2F" w14:textId="77777777" w:rsidR="00AE2A46" w:rsidRPr="00801C6D" w:rsidRDefault="00AE2A46" w:rsidP="00B46A29">
            <w:pPr>
              <w:spacing w:after="120"/>
              <w:jc w:val="both"/>
              <w:rPr>
                <w:rFonts w:ascii="Arial" w:hAnsi="Arial" w:cs="Arial"/>
                <w:sz w:val="20"/>
                <w:szCs w:val="20"/>
              </w:rPr>
            </w:pPr>
          </w:p>
        </w:tc>
        <w:tc>
          <w:tcPr>
            <w:tcW w:w="3532" w:type="dxa"/>
            <w:tcBorders>
              <w:bottom w:val="none" w:sz="0" w:space="0" w:color="auto"/>
            </w:tcBorders>
            <w:shd w:val="clear" w:color="auto" w:fill="auto"/>
            <w:vAlign w:val="center"/>
          </w:tcPr>
          <w:p w14:paraId="5C7B9DC3" w14:textId="77777777" w:rsidR="00AE2A46" w:rsidRPr="00801C6D" w:rsidRDefault="00AE2A46" w:rsidP="00B46A29">
            <w:pPr>
              <w:spacing w:after="120"/>
              <w:jc w:val="both"/>
              <w:cnfStyle w:val="100000000000" w:firstRow="1" w:lastRow="0" w:firstColumn="0" w:lastColumn="0" w:oddVBand="0" w:evenVBand="0" w:oddHBand="0" w:evenHBand="0" w:firstRowFirstColumn="0" w:firstRowLastColumn="0" w:lastRowFirstColumn="0" w:lastRowLastColumn="0"/>
              <w:rPr>
                <w:rFonts w:ascii="Arial" w:hAnsi="Arial" w:cs="Arial"/>
                <w:sz w:val="20"/>
                <w:szCs w:val="20"/>
              </w:rPr>
            </w:pPr>
            <w:r w:rsidRPr="00801C6D">
              <w:rPr>
                <w:rFonts w:ascii="Arial" w:hAnsi="Arial" w:cs="Arial"/>
                <w:sz w:val="20"/>
                <w:szCs w:val="20"/>
              </w:rPr>
              <w:t>Magnification power of 40×</w:t>
            </w:r>
          </w:p>
        </w:tc>
        <w:tc>
          <w:tcPr>
            <w:tcW w:w="3370" w:type="dxa"/>
            <w:tcBorders>
              <w:bottom w:val="none" w:sz="0" w:space="0" w:color="auto"/>
            </w:tcBorders>
            <w:shd w:val="clear" w:color="auto" w:fill="auto"/>
            <w:vAlign w:val="center"/>
          </w:tcPr>
          <w:p w14:paraId="0D602AD1" w14:textId="77777777" w:rsidR="00AE2A46" w:rsidRPr="00801C6D" w:rsidRDefault="00AE2A46" w:rsidP="00B46A29">
            <w:pPr>
              <w:spacing w:after="120"/>
              <w:jc w:val="both"/>
              <w:cnfStyle w:val="100000000000" w:firstRow="1" w:lastRow="0" w:firstColumn="0" w:lastColumn="0" w:oddVBand="0" w:evenVBand="0" w:oddHBand="0" w:evenHBand="0" w:firstRowFirstColumn="0" w:firstRowLastColumn="0" w:lastRowFirstColumn="0" w:lastRowLastColumn="0"/>
              <w:rPr>
                <w:rFonts w:ascii="Arial" w:hAnsi="Arial" w:cs="Arial"/>
                <w:sz w:val="20"/>
                <w:szCs w:val="20"/>
              </w:rPr>
            </w:pPr>
            <w:r w:rsidRPr="00801C6D">
              <w:rPr>
                <w:rFonts w:ascii="Arial" w:hAnsi="Arial" w:cs="Arial"/>
                <w:sz w:val="20"/>
                <w:szCs w:val="20"/>
              </w:rPr>
              <w:t>Magnification power of 400×</w:t>
            </w:r>
          </w:p>
        </w:tc>
      </w:tr>
      <w:tr w:rsidR="00AE2A46" w:rsidRPr="00801C6D" w14:paraId="729E2830" w14:textId="77777777" w:rsidTr="007B734B">
        <w:trPr>
          <w:cnfStyle w:val="000000100000" w:firstRow="0" w:lastRow="0" w:firstColumn="0" w:lastColumn="0" w:oddVBand="0" w:evenVBand="0" w:oddHBand="1" w:evenHBand="0" w:firstRowFirstColumn="0" w:firstRowLastColumn="0" w:lastRowFirstColumn="0" w:lastRowLastColumn="0"/>
          <w:trHeight w:val="2581"/>
          <w:jc w:val="center"/>
        </w:trPr>
        <w:tc>
          <w:tcPr>
            <w:cnfStyle w:val="001000000000" w:firstRow="0" w:lastRow="0" w:firstColumn="1" w:lastColumn="0" w:oddVBand="0" w:evenVBand="0" w:oddHBand="0" w:evenHBand="0" w:firstRowFirstColumn="0" w:firstRowLastColumn="0" w:lastRowFirstColumn="0" w:lastRowLastColumn="0"/>
            <w:tcW w:w="654" w:type="dxa"/>
            <w:tcBorders>
              <w:right w:val="none" w:sz="0" w:space="0" w:color="auto"/>
            </w:tcBorders>
            <w:shd w:val="clear" w:color="auto" w:fill="auto"/>
          </w:tcPr>
          <w:p w14:paraId="5B1B4C67" w14:textId="77777777" w:rsidR="00AE2A46" w:rsidRPr="00801C6D" w:rsidRDefault="00AE2A46" w:rsidP="00B46A29">
            <w:pPr>
              <w:spacing w:after="120"/>
              <w:jc w:val="both"/>
              <w:rPr>
                <w:rFonts w:ascii="Arial" w:hAnsi="Arial" w:cs="Arial"/>
                <w:sz w:val="20"/>
                <w:szCs w:val="20"/>
              </w:rPr>
            </w:pPr>
            <w:r w:rsidRPr="00801C6D">
              <w:rPr>
                <w:rFonts w:ascii="Arial" w:hAnsi="Arial" w:cs="Arial"/>
                <w:sz w:val="20"/>
                <w:szCs w:val="20"/>
              </w:rPr>
              <w:t>F1</w:t>
            </w:r>
          </w:p>
        </w:tc>
        <w:tc>
          <w:tcPr>
            <w:tcW w:w="3532" w:type="dxa"/>
            <w:shd w:val="clear" w:color="auto" w:fill="auto"/>
          </w:tcPr>
          <w:p w14:paraId="414EFEF5" w14:textId="77777777" w:rsidR="00AE2A46" w:rsidRPr="00801C6D" w:rsidRDefault="00AE2A46" w:rsidP="00B46A29">
            <w:pPr>
              <w:spacing w:after="120"/>
              <w:jc w:val="both"/>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801C6D">
              <w:rPr>
                <w:rFonts w:ascii="Arial" w:hAnsi="Arial" w:cs="Arial"/>
                <w:noProof/>
                <w:sz w:val="20"/>
                <w:szCs w:val="20"/>
              </w:rPr>
              <w:drawing>
                <wp:inline distT="0" distB="0" distL="0" distR="0" wp14:anchorId="5FA946D6" wp14:editId="7C0F60EC">
                  <wp:extent cx="2292985" cy="1719580"/>
                  <wp:effectExtent l="0" t="0" r="0" b="0"/>
                  <wp:docPr id="2000138824" name="Picture 3" descr="A close up of a blue and white speckled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76604756" name="Picture 3" descr="A close up of a blue and white speckled background&#10;&#10;Description automatically generated"/>
                          <pic:cNvPicPr/>
                        </pic:nvPicPr>
                        <pic:blipFill>
                          <a:blip r:embed="rId14" cstate="print">
                            <a:extLst>
                              <a:ext uri="{28A0092B-C50C-407E-A947-70E740481C1C}">
                                <a14:useLocalDpi xmlns:a14="http://schemas.microsoft.com/office/drawing/2010/main" val="0"/>
                              </a:ext>
                            </a:extLst>
                          </a:blip>
                          <a:stretch>
                            <a:fillRect/>
                          </a:stretch>
                        </pic:blipFill>
                        <pic:spPr>
                          <a:xfrm>
                            <a:off x="0" y="0"/>
                            <a:ext cx="2292985" cy="1719580"/>
                          </a:xfrm>
                          <a:prstGeom prst="rect">
                            <a:avLst/>
                          </a:prstGeom>
                        </pic:spPr>
                      </pic:pic>
                    </a:graphicData>
                  </a:graphic>
                </wp:inline>
              </w:drawing>
            </w:r>
          </w:p>
        </w:tc>
        <w:tc>
          <w:tcPr>
            <w:tcW w:w="3370" w:type="dxa"/>
            <w:shd w:val="clear" w:color="auto" w:fill="auto"/>
          </w:tcPr>
          <w:p w14:paraId="0E97DA4B" w14:textId="77777777" w:rsidR="00AE2A46" w:rsidRPr="00801C6D" w:rsidRDefault="00AE2A46" w:rsidP="00B46A29">
            <w:pPr>
              <w:spacing w:after="120"/>
              <w:jc w:val="both"/>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801C6D">
              <w:rPr>
                <w:rFonts w:ascii="Arial" w:hAnsi="Arial" w:cs="Arial"/>
                <w:noProof/>
                <w:sz w:val="20"/>
                <w:szCs w:val="20"/>
              </w:rPr>
              <w:drawing>
                <wp:inline distT="0" distB="0" distL="0" distR="0" wp14:anchorId="75062E20" wp14:editId="09246D27">
                  <wp:extent cx="2181860" cy="1719580"/>
                  <wp:effectExtent l="0" t="0" r="8890" b="0"/>
                  <wp:docPr id="863897073" name="Picture 5" descr="A close-up of a blue surfac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9001923" name="Picture 5" descr="A close-up of a blue surface&#10;&#10;Description automatically generated"/>
                          <pic:cNvPicPr/>
                        </pic:nvPicPr>
                        <pic:blipFill>
                          <a:blip r:embed="rId15" cstate="print">
                            <a:extLst>
                              <a:ext uri="{28A0092B-C50C-407E-A947-70E740481C1C}">
                                <a14:useLocalDpi xmlns:a14="http://schemas.microsoft.com/office/drawing/2010/main" val="0"/>
                              </a:ext>
                            </a:extLst>
                          </a:blip>
                          <a:stretch>
                            <a:fillRect/>
                          </a:stretch>
                        </pic:blipFill>
                        <pic:spPr>
                          <a:xfrm>
                            <a:off x="0" y="0"/>
                            <a:ext cx="2181860" cy="1719580"/>
                          </a:xfrm>
                          <a:prstGeom prst="rect">
                            <a:avLst/>
                          </a:prstGeom>
                        </pic:spPr>
                      </pic:pic>
                    </a:graphicData>
                  </a:graphic>
                </wp:inline>
              </w:drawing>
            </w:r>
          </w:p>
        </w:tc>
      </w:tr>
      <w:tr w:rsidR="00AE2A46" w:rsidRPr="00801C6D" w14:paraId="312AEA90" w14:textId="77777777" w:rsidTr="007B734B">
        <w:trPr>
          <w:trHeight w:val="2572"/>
          <w:jc w:val="center"/>
        </w:trPr>
        <w:tc>
          <w:tcPr>
            <w:cnfStyle w:val="001000000000" w:firstRow="0" w:lastRow="0" w:firstColumn="1" w:lastColumn="0" w:oddVBand="0" w:evenVBand="0" w:oddHBand="0" w:evenHBand="0" w:firstRowFirstColumn="0" w:firstRowLastColumn="0" w:lastRowFirstColumn="0" w:lastRowLastColumn="0"/>
            <w:tcW w:w="654" w:type="dxa"/>
            <w:tcBorders>
              <w:right w:val="none" w:sz="0" w:space="0" w:color="auto"/>
            </w:tcBorders>
            <w:shd w:val="clear" w:color="auto" w:fill="auto"/>
          </w:tcPr>
          <w:p w14:paraId="3878BB70" w14:textId="77777777" w:rsidR="00AE2A46" w:rsidRPr="00801C6D" w:rsidRDefault="00AE2A46" w:rsidP="00B46A29">
            <w:pPr>
              <w:spacing w:after="120"/>
              <w:jc w:val="both"/>
              <w:rPr>
                <w:rFonts w:ascii="Arial" w:hAnsi="Arial" w:cs="Arial"/>
                <w:sz w:val="20"/>
                <w:szCs w:val="20"/>
              </w:rPr>
            </w:pPr>
            <w:r w:rsidRPr="00801C6D">
              <w:rPr>
                <w:rFonts w:ascii="Arial" w:hAnsi="Arial" w:cs="Arial"/>
                <w:sz w:val="20"/>
                <w:szCs w:val="20"/>
              </w:rPr>
              <w:t>F2</w:t>
            </w:r>
          </w:p>
        </w:tc>
        <w:tc>
          <w:tcPr>
            <w:tcW w:w="3532" w:type="dxa"/>
          </w:tcPr>
          <w:p w14:paraId="0ABB973A" w14:textId="77777777" w:rsidR="00AE2A46" w:rsidRPr="00801C6D" w:rsidRDefault="00AE2A46" w:rsidP="00B46A29">
            <w:pPr>
              <w:spacing w:after="120"/>
              <w:jc w:val="both"/>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801C6D">
              <w:rPr>
                <w:rFonts w:ascii="Arial" w:hAnsi="Arial" w:cs="Arial"/>
                <w:noProof/>
                <w:sz w:val="20"/>
                <w:szCs w:val="20"/>
              </w:rPr>
              <w:drawing>
                <wp:inline distT="0" distB="0" distL="0" distR="0" wp14:anchorId="557C1775" wp14:editId="149CB661">
                  <wp:extent cx="2292985" cy="1719580"/>
                  <wp:effectExtent l="0" t="0" r="0" b="0"/>
                  <wp:docPr id="2114708674" name="Picture 2" descr="A close-up of a microscop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29210742" name="Picture 2" descr="A close-up of a microscope&#10;&#10;Description automatically generated"/>
                          <pic:cNvPicPr/>
                        </pic:nvPicPr>
                        <pic:blipFill>
                          <a:blip r:embed="rId16" cstate="print">
                            <a:extLst>
                              <a:ext uri="{28A0092B-C50C-407E-A947-70E740481C1C}">
                                <a14:useLocalDpi xmlns:a14="http://schemas.microsoft.com/office/drawing/2010/main" val="0"/>
                              </a:ext>
                            </a:extLst>
                          </a:blip>
                          <a:stretch>
                            <a:fillRect/>
                          </a:stretch>
                        </pic:blipFill>
                        <pic:spPr>
                          <a:xfrm>
                            <a:off x="0" y="0"/>
                            <a:ext cx="2292985" cy="1719580"/>
                          </a:xfrm>
                          <a:prstGeom prst="rect">
                            <a:avLst/>
                          </a:prstGeom>
                        </pic:spPr>
                      </pic:pic>
                    </a:graphicData>
                  </a:graphic>
                </wp:inline>
              </w:drawing>
            </w:r>
          </w:p>
        </w:tc>
        <w:tc>
          <w:tcPr>
            <w:tcW w:w="3370" w:type="dxa"/>
          </w:tcPr>
          <w:p w14:paraId="59A52FE3" w14:textId="77777777" w:rsidR="00AE2A46" w:rsidRPr="00801C6D" w:rsidRDefault="00AE2A46" w:rsidP="00B46A29">
            <w:pPr>
              <w:spacing w:after="120"/>
              <w:jc w:val="both"/>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801C6D">
              <w:rPr>
                <w:rFonts w:ascii="Arial" w:hAnsi="Arial" w:cs="Arial"/>
                <w:noProof/>
                <w:sz w:val="20"/>
                <w:szCs w:val="20"/>
              </w:rPr>
              <w:drawing>
                <wp:inline distT="0" distB="0" distL="0" distR="0" wp14:anchorId="5B0D56AB" wp14:editId="29C2B723">
                  <wp:extent cx="2181860" cy="1719580"/>
                  <wp:effectExtent l="0" t="0" r="8890" b="0"/>
                  <wp:docPr id="1574687175" name="Picture 6" descr="A picture containing water, bubbl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60819519" name="Picture 6" descr="A picture containing water, bubble&#10;&#10;Description automatically generated"/>
                          <pic:cNvPicPr/>
                        </pic:nvPicPr>
                        <pic:blipFill>
                          <a:blip r:embed="rId17" cstate="print">
                            <a:extLst>
                              <a:ext uri="{28A0092B-C50C-407E-A947-70E740481C1C}">
                                <a14:useLocalDpi xmlns:a14="http://schemas.microsoft.com/office/drawing/2010/main" val="0"/>
                              </a:ext>
                            </a:extLst>
                          </a:blip>
                          <a:stretch>
                            <a:fillRect/>
                          </a:stretch>
                        </pic:blipFill>
                        <pic:spPr>
                          <a:xfrm>
                            <a:off x="0" y="0"/>
                            <a:ext cx="2181860" cy="1719580"/>
                          </a:xfrm>
                          <a:prstGeom prst="rect">
                            <a:avLst/>
                          </a:prstGeom>
                        </pic:spPr>
                      </pic:pic>
                    </a:graphicData>
                  </a:graphic>
                </wp:inline>
              </w:drawing>
            </w:r>
          </w:p>
        </w:tc>
      </w:tr>
      <w:tr w:rsidR="00AE2A46" w:rsidRPr="00801C6D" w14:paraId="57ADFA51" w14:textId="77777777" w:rsidTr="007B734B">
        <w:trPr>
          <w:cnfStyle w:val="000000100000" w:firstRow="0" w:lastRow="0" w:firstColumn="0" w:lastColumn="0" w:oddVBand="0" w:evenVBand="0" w:oddHBand="1" w:evenHBand="0" w:firstRowFirstColumn="0" w:firstRowLastColumn="0" w:lastRowFirstColumn="0" w:lastRowLastColumn="0"/>
          <w:trHeight w:val="2572"/>
          <w:jc w:val="center"/>
        </w:trPr>
        <w:tc>
          <w:tcPr>
            <w:cnfStyle w:val="001000000000" w:firstRow="0" w:lastRow="0" w:firstColumn="1" w:lastColumn="0" w:oddVBand="0" w:evenVBand="0" w:oddHBand="0" w:evenHBand="0" w:firstRowFirstColumn="0" w:firstRowLastColumn="0" w:lastRowFirstColumn="0" w:lastRowLastColumn="0"/>
            <w:tcW w:w="654" w:type="dxa"/>
            <w:tcBorders>
              <w:right w:val="none" w:sz="0" w:space="0" w:color="auto"/>
            </w:tcBorders>
            <w:shd w:val="clear" w:color="auto" w:fill="auto"/>
          </w:tcPr>
          <w:p w14:paraId="56755AA5" w14:textId="77777777" w:rsidR="00AE2A46" w:rsidRPr="00801C6D" w:rsidRDefault="00AE2A46" w:rsidP="00B46A29">
            <w:pPr>
              <w:spacing w:after="120"/>
              <w:jc w:val="both"/>
              <w:rPr>
                <w:rFonts w:ascii="Arial" w:hAnsi="Arial" w:cs="Arial"/>
                <w:sz w:val="20"/>
                <w:szCs w:val="20"/>
              </w:rPr>
            </w:pPr>
            <w:r w:rsidRPr="00801C6D">
              <w:rPr>
                <w:rFonts w:ascii="Arial" w:hAnsi="Arial" w:cs="Arial"/>
                <w:sz w:val="20"/>
                <w:szCs w:val="20"/>
              </w:rPr>
              <w:t>F3</w:t>
            </w:r>
          </w:p>
        </w:tc>
        <w:tc>
          <w:tcPr>
            <w:tcW w:w="3532" w:type="dxa"/>
            <w:shd w:val="clear" w:color="auto" w:fill="auto"/>
          </w:tcPr>
          <w:p w14:paraId="6F235EF4" w14:textId="77777777" w:rsidR="00AE2A46" w:rsidRPr="00801C6D" w:rsidRDefault="00AE2A46" w:rsidP="00B46A29">
            <w:pPr>
              <w:spacing w:after="120"/>
              <w:jc w:val="both"/>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801C6D">
              <w:rPr>
                <w:rFonts w:ascii="Arial" w:hAnsi="Arial" w:cs="Arial"/>
                <w:noProof/>
                <w:sz w:val="20"/>
                <w:szCs w:val="20"/>
              </w:rPr>
              <w:drawing>
                <wp:inline distT="0" distB="0" distL="0" distR="0" wp14:anchorId="2DF88B77" wp14:editId="330B0E3A">
                  <wp:extent cx="2292985" cy="1719580"/>
                  <wp:effectExtent l="0" t="0" r="0" b="0"/>
                  <wp:docPr id="83505766" name="Picture 4" descr="A close-up of a blue and white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9873951" name="Picture 4" descr="A close-up of a blue and white background&#10;&#10;Description automatically generated"/>
                          <pic:cNvPicPr/>
                        </pic:nvPicPr>
                        <pic:blipFill>
                          <a:blip r:embed="rId18" cstate="print">
                            <a:extLst>
                              <a:ext uri="{28A0092B-C50C-407E-A947-70E740481C1C}">
                                <a14:useLocalDpi xmlns:a14="http://schemas.microsoft.com/office/drawing/2010/main" val="0"/>
                              </a:ext>
                            </a:extLst>
                          </a:blip>
                          <a:stretch>
                            <a:fillRect/>
                          </a:stretch>
                        </pic:blipFill>
                        <pic:spPr>
                          <a:xfrm>
                            <a:off x="0" y="0"/>
                            <a:ext cx="2292985" cy="1719580"/>
                          </a:xfrm>
                          <a:prstGeom prst="rect">
                            <a:avLst/>
                          </a:prstGeom>
                        </pic:spPr>
                      </pic:pic>
                    </a:graphicData>
                  </a:graphic>
                </wp:inline>
              </w:drawing>
            </w:r>
          </w:p>
        </w:tc>
        <w:tc>
          <w:tcPr>
            <w:tcW w:w="3370" w:type="dxa"/>
            <w:shd w:val="clear" w:color="auto" w:fill="auto"/>
          </w:tcPr>
          <w:p w14:paraId="3AFEAFE0" w14:textId="77777777" w:rsidR="00AE2A46" w:rsidRPr="00801C6D" w:rsidRDefault="00AE2A46" w:rsidP="00B46A29">
            <w:pPr>
              <w:spacing w:after="120"/>
              <w:jc w:val="both"/>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801C6D">
              <w:rPr>
                <w:rFonts w:ascii="Arial" w:hAnsi="Arial" w:cs="Arial"/>
                <w:noProof/>
                <w:sz w:val="20"/>
                <w:szCs w:val="20"/>
              </w:rPr>
              <w:drawing>
                <wp:inline distT="0" distB="0" distL="0" distR="0" wp14:anchorId="4A2D912D" wp14:editId="51273779">
                  <wp:extent cx="2181860" cy="1719580"/>
                  <wp:effectExtent l="0" t="0" r="8890" b="0"/>
                  <wp:docPr id="893351067" name="Picture 7" descr="A close-up of a blue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50868962" name="Picture 7" descr="A close-up of a blue background&#10;&#10;Description automatically generated"/>
                          <pic:cNvPicPr/>
                        </pic:nvPicPr>
                        <pic:blipFill>
                          <a:blip r:embed="rId19" cstate="print">
                            <a:extLst>
                              <a:ext uri="{28A0092B-C50C-407E-A947-70E740481C1C}">
                                <a14:useLocalDpi xmlns:a14="http://schemas.microsoft.com/office/drawing/2010/main" val="0"/>
                              </a:ext>
                            </a:extLst>
                          </a:blip>
                          <a:stretch>
                            <a:fillRect/>
                          </a:stretch>
                        </pic:blipFill>
                        <pic:spPr>
                          <a:xfrm>
                            <a:off x="0" y="0"/>
                            <a:ext cx="2181860" cy="1719580"/>
                          </a:xfrm>
                          <a:prstGeom prst="rect">
                            <a:avLst/>
                          </a:prstGeom>
                        </pic:spPr>
                      </pic:pic>
                    </a:graphicData>
                  </a:graphic>
                </wp:inline>
              </w:drawing>
            </w:r>
          </w:p>
        </w:tc>
      </w:tr>
    </w:tbl>
    <w:p w14:paraId="79DB3EBD" w14:textId="77777777" w:rsidR="00AE2A46" w:rsidRPr="00801C6D" w:rsidRDefault="00AE2A46" w:rsidP="007B734B">
      <w:pPr>
        <w:spacing w:before="120" w:after="120"/>
        <w:jc w:val="center"/>
        <w:rPr>
          <w:rFonts w:ascii="Arial" w:hAnsi="Arial" w:cs="Arial"/>
          <w:i/>
          <w:iCs/>
          <w:sz w:val="20"/>
          <w:szCs w:val="20"/>
        </w:rPr>
      </w:pPr>
      <w:r w:rsidRPr="00801C6D">
        <w:rPr>
          <w:rFonts w:ascii="Arial" w:hAnsi="Arial" w:cs="Arial"/>
          <w:b/>
          <w:bCs/>
          <w:i/>
          <w:iCs/>
          <w:sz w:val="20"/>
          <w:szCs w:val="20"/>
        </w:rPr>
        <w:t>Figure 2:</w:t>
      </w:r>
      <w:r w:rsidRPr="00801C6D">
        <w:rPr>
          <w:rFonts w:ascii="Arial" w:hAnsi="Arial" w:cs="Arial"/>
          <w:i/>
          <w:iCs/>
          <w:sz w:val="20"/>
          <w:szCs w:val="20"/>
        </w:rPr>
        <w:t xml:space="preserve"> Microscopic Test Results </w:t>
      </w:r>
      <w:proofErr w:type="gramStart"/>
      <w:r w:rsidRPr="00801C6D">
        <w:rPr>
          <w:rFonts w:ascii="Arial" w:hAnsi="Arial" w:cs="Arial"/>
          <w:i/>
          <w:iCs/>
          <w:sz w:val="20"/>
          <w:szCs w:val="20"/>
        </w:rPr>
        <w:t>For</w:t>
      </w:r>
      <w:proofErr w:type="gramEnd"/>
      <w:r w:rsidRPr="00801C6D">
        <w:rPr>
          <w:rFonts w:ascii="Arial" w:hAnsi="Arial" w:cs="Arial"/>
          <w:i/>
          <w:iCs/>
          <w:sz w:val="20"/>
          <w:szCs w:val="20"/>
        </w:rPr>
        <w:t xml:space="preserve"> F1, F2 And F3 Formulation</w:t>
      </w:r>
    </w:p>
    <w:p w14:paraId="56404ACE" w14:textId="77777777" w:rsidR="00AE2A46" w:rsidRPr="00801C6D" w:rsidRDefault="00AE2A46" w:rsidP="00AE2A46">
      <w:pPr>
        <w:spacing w:after="120"/>
        <w:jc w:val="center"/>
        <w:rPr>
          <w:rFonts w:ascii="Arial" w:hAnsi="Arial" w:cs="Arial"/>
          <w:sz w:val="20"/>
          <w:szCs w:val="20"/>
        </w:rPr>
      </w:pPr>
      <w:r w:rsidRPr="00801C6D">
        <w:rPr>
          <w:rFonts w:ascii="Arial" w:hAnsi="Arial" w:cs="Arial"/>
          <w:noProof/>
          <w:sz w:val="20"/>
          <w:szCs w:val="20"/>
        </w:rPr>
        <w:drawing>
          <wp:inline distT="0" distB="0" distL="0" distR="0" wp14:anchorId="68880BC6" wp14:editId="2B0D6F1F">
            <wp:extent cx="3838575" cy="2562225"/>
            <wp:effectExtent l="19050" t="19050" r="9525" b="9525"/>
            <wp:docPr id="766103876" name="Chart 1">
              <a:extLst xmlns:a="http://schemas.openxmlformats.org/drawingml/2006/main">
                <a:ext uri="{FF2B5EF4-FFF2-40B4-BE49-F238E27FC236}">
                  <a16:creationId xmlns:a16="http://schemas.microsoft.com/office/drawing/2014/main" id="{BA08953C-2CC6-DC6E-BB1B-9EE06ACB7702}"/>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0"/>
              </a:graphicData>
            </a:graphic>
          </wp:inline>
        </w:drawing>
      </w:r>
    </w:p>
    <w:p w14:paraId="7B82AFBA" w14:textId="77777777" w:rsidR="00AE2A46" w:rsidRPr="00801C6D" w:rsidRDefault="00AE2A46" w:rsidP="00AE2A46">
      <w:pPr>
        <w:spacing w:after="120"/>
        <w:jc w:val="center"/>
        <w:rPr>
          <w:rFonts w:ascii="Arial" w:hAnsi="Arial" w:cs="Arial"/>
          <w:i/>
          <w:iCs/>
          <w:sz w:val="20"/>
          <w:szCs w:val="20"/>
        </w:rPr>
      </w:pPr>
      <w:r w:rsidRPr="00801C6D">
        <w:rPr>
          <w:rFonts w:ascii="Arial" w:hAnsi="Arial" w:cs="Arial"/>
          <w:b/>
          <w:bCs/>
          <w:i/>
          <w:iCs/>
          <w:sz w:val="20"/>
          <w:szCs w:val="20"/>
        </w:rPr>
        <w:t>Figure 3:</w:t>
      </w:r>
      <w:r w:rsidRPr="00801C6D">
        <w:rPr>
          <w:rFonts w:ascii="Arial" w:hAnsi="Arial" w:cs="Arial"/>
          <w:i/>
          <w:iCs/>
          <w:sz w:val="20"/>
          <w:szCs w:val="20"/>
        </w:rPr>
        <w:t xml:space="preserve"> Graph of Shear Stress Versus Shear Rate F1</w:t>
      </w:r>
    </w:p>
    <w:p w14:paraId="10A6BF33" w14:textId="77777777" w:rsidR="00AE2A46" w:rsidRPr="00801C6D" w:rsidRDefault="00AE2A46" w:rsidP="00AE2A46">
      <w:pPr>
        <w:spacing w:after="120"/>
        <w:jc w:val="center"/>
        <w:rPr>
          <w:rFonts w:ascii="Arial" w:hAnsi="Arial" w:cs="Arial"/>
          <w:sz w:val="20"/>
          <w:szCs w:val="20"/>
        </w:rPr>
      </w:pPr>
      <w:r w:rsidRPr="00801C6D">
        <w:rPr>
          <w:rFonts w:ascii="Arial" w:hAnsi="Arial" w:cs="Arial"/>
          <w:noProof/>
          <w:sz w:val="20"/>
          <w:szCs w:val="20"/>
        </w:rPr>
        <w:lastRenderedPageBreak/>
        <w:drawing>
          <wp:inline distT="0" distB="0" distL="0" distR="0" wp14:anchorId="0501C06F" wp14:editId="32F29EA0">
            <wp:extent cx="3990975" cy="2400300"/>
            <wp:effectExtent l="19050" t="19050" r="9525" b="19050"/>
            <wp:docPr id="1912285130" name="Chart 1">
              <a:extLst xmlns:a="http://schemas.openxmlformats.org/drawingml/2006/main">
                <a:ext uri="{FF2B5EF4-FFF2-40B4-BE49-F238E27FC236}">
                  <a16:creationId xmlns:a16="http://schemas.microsoft.com/office/drawing/2014/main" id="{276DAC0D-404E-6571-6260-6B790A07338C}"/>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1"/>
              </a:graphicData>
            </a:graphic>
          </wp:inline>
        </w:drawing>
      </w:r>
    </w:p>
    <w:p w14:paraId="6801BB3A" w14:textId="77777777" w:rsidR="00AE2A46" w:rsidRPr="00801C6D" w:rsidRDefault="00AE2A46" w:rsidP="00AE2A46">
      <w:pPr>
        <w:spacing w:after="120"/>
        <w:jc w:val="center"/>
        <w:rPr>
          <w:rFonts w:ascii="Arial" w:hAnsi="Arial" w:cs="Arial"/>
          <w:i/>
          <w:iCs/>
          <w:sz w:val="20"/>
          <w:szCs w:val="20"/>
        </w:rPr>
      </w:pPr>
      <w:r w:rsidRPr="00801C6D">
        <w:rPr>
          <w:rFonts w:ascii="Arial" w:hAnsi="Arial" w:cs="Arial"/>
          <w:b/>
          <w:bCs/>
          <w:i/>
          <w:iCs/>
          <w:sz w:val="20"/>
          <w:szCs w:val="20"/>
        </w:rPr>
        <w:t>Figure 4:</w:t>
      </w:r>
      <w:r w:rsidRPr="00801C6D">
        <w:rPr>
          <w:rFonts w:ascii="Arial" w:hAnsi="Arial" w:cs="Arial"/>
          <w:i/>
          <w:iCs/>
          <w:sz w:val="20"/>
          <w:szCs w:val="20"/>
        </w:rPr>
        <w:t xml:space="preserve"> Graph of Shear Stress Versus Shear Rate F2</w:t>
      </w:r>
    </w:p>
    <w:p w14:paraId="257886A6" w14:textId="77777777" w:rsidR="00AE2A46" w:rsidRPr="00801C6D" w:rsidRDefault="00AE2A46" w:rsidP="00AE2A46">
      <w:pPr>
        <w:spacing w:after="120"/>
        <w:jc w:val="center"/>
        <w:rPr>
          <w:rFonts w:ascii="Arial" w:hAnsi="Arial" w:cs="Arial"/>
          <w:sz w:val="20"/>
          <w:szCs w:val="20"/>
        </w:rPr>
      </w:pPr>
      <w:r w:rsidRPr="00801C6D">
        <w:rPr>
          <w:rFonts w:ascii="Arial" w:hAnsi="Arial" w:cs="Arial"/>
          <w:noProof/>
          <w:sz w:val="20"/>
          <w:szCs w:val="20"/>
        </w:rPr>
        <w:drawing>
          <wp:inline distT="0" distB="0" distL="0" distR="0" wp14:anchorId="4B0C6E90" wp14:editId="256B5045">
            <wp:extent cx="4029075" cy="3152775"/>
            <wp:effectExtent l="19050" t="19050" r="9525" b="9525"/>
            <wp:docPr id="1858131639" name="Chart 1">
              <a:extLst xmlns:a="http://schemas.openxmlformats.org/drawingml/2006/main">
                <a:ext uri="{FF2B5EF4-FFF2-40B4-BE49-F238E27FC236}">
                  <a16:creationId xmlns:a16="http://schemas.microsoft.com/office/drawing/2014/main" id="{02604D91-38C6-09C9-1646-94E0B0B5342F}"/>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2"/>
              </a:graphicData>
            </a:graphic>
          </wp:inline>
        </w:drawing>
      </w:r>
    </w:p>
    <w:p w14:paraId="1BD25B55" w14:textId="77777777" w:rsidR="00AE2A46" w:rsidRPr="00801C6D" w:rsidRDefault="00AE2A46" w:rsidP="00AE2A46">
      <w:pPr>
        <w:spacing w:after="120"/>
        <w:jc w:val="center"/>
        <w:rPr>
          <w:rFonts w:ascii="Arial" w:hAnsi="Arial" w:cs="Arial"/>
          <w:i/>
          <w:iCs/>
          <w:sz w:val="20"/>
          <w:szCs w:val="20"/>
        </w:rPr>
      </w:pPr>
      <w:r w:rsidRPr="00801C6D">
        <w:rPr>
          <w:rFonts w:ascii="Arial" w:hAnsi="Arial" w:cs="Arial"/>
          <w:b/>
          <w:bCs/>
          <w:i/>
          <w:iCs/>
          <w:sz w:val="20"/>
          <w:szCs w:val="20"/>
        </w:rPr>
        <w:t>Figure 5:</w:t>
      </w:r>
      <w:r w:rsidRPr="00801C6D">
        <w:rPr>
          <w:rFonts w:ascii="Arial" w:hAnsi="Arial" w:cs="Arial"/>
          <w:i/>
          <w:iCs/>
          <w:sz w:val="20"/>
          <w:szCs w:val="20"/>
        </w:rPr>
        <w:t xml:space="preserve"> Graph Of Shear Stress Versus Shear Rate F3</w:t>
      </w:r>
    </w:p>
    <w:p w14:paraId="70069B3A" w14:textId="77777777" w:rsidR="00AE2A46" w:rsidRPr="00801C6D" w:rsidRDefault="00AE2A46" w:rsidP="00AE2A46">
      <w:pPr>
        <w:spacing w:after="120"/>
        <w:jc w:val="center"/>
        <w:rPr>
          <w:rFonts w:ascii="Arial" w:hAnsi="Arial" w:cs="Arial"/>
          <w:i/>
          <w:iCs/>
          <w:sz w:val="20"/>
          <w:szCs w:val="20"/>
        </w:rPr>
      </w:pPr>
    </w:p>
    <w:p w14:paraId="487DE79F" w14:textId="77777777" w:rsidR="00AE2A46" w:rsidRPr="00801C6D" w:rsidRDefault="00AE2A46" w:rsidP="00A81B3D">
      <w:pPr>
        <w:spacing w:after="120"/>
        <w:jc w:val="center"/>
        <w:rPr>
          <w:rFonts w:ascii="Arial" w:hAnsi="Arial" w:cs="Arial"/>
          <w:sz w:val="20"/>
          <w:szCs w:val="20"/>
        </w:rPr>
      </w:pPr>
      <w:r w:rsidRPr="00801C6D">
        <w:rPr>
          <w:rFonts w:ascii="Arial" w:hAnsi="Arial" w:cs="Arial"/>
          <w:noProof/>
          <w:sz w:val="20"/>
          <w:szCs w:val="20"/>
        </w:rPr>
        <w:lastRenderedPageBreak/>
        <w:drawing>
          <wp:inline distT="0" distB="0" distL="0" distR="0" wp14:anchorId="404E0D6A" wp14:editId="27033A68">
            <wp:extent cx="3914775" cy="3190875"/>
            <wp:effectExtent l="19050" t="19050" r="9525" b="9525"/>
            <wp:docPr id="69048642" name="Chart 1">
              <a:extLst xmlns:a="http://schemas.openxmlformats.org/drawingml/2006/main">
                <a:ext uri="{FF2B5EF4-FFF2-40B4-BE49-F238E27FC236}">
                  <a16:creationId xmlns:a16="http://schemas.microsoft.com/office/drawing/2014/main" id="{0764F54E-BB2F-3262-5D42-ACFDC5B68CDB}"/>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3"/>
              </a:graphicData>
            </a:graphic>
          </wp:inline>
        </w:drawing>
      </w:r>
    </w:p>
    <w:p w14:paraId="212B99CD" w14:textId="77777777" w:rsidR="00AE2A46" w:rsidRPr="00801C6D" w:rsidRDefault="00AE2A46" w:rsidP="00A81B3D">
      <w:pPr>
        <w:spacing w:after="120"/>
        <w:jc w:val="center"/>
        <w:rPr>
          <w:rFonts w:ascii="Arial" w:hAnsi="Arial" w:cs="Arial"/>
          <w:i/>
          <w:iCs/>
          <w:sz w:val="20"/>
          <w:szCs w:val="20"/>
        </w:rPr>
      </w:pPr>
      <w:r w:rsidRPr="00801C6D">
        <w:rPr>
          <w:rFonts w:ascii="Arial" w:hAnsi="Arial" w:cs="Arial"/>
          <w:b/>
          <w:bCs/>
          <w:i/>
          <w:iCs/>
          <w:sz w:val="20"/>
          <w:szCs w:val="20"/>
        </w:rPr>
        <w:t>Figure 6:</w:t>
      </w:r>
      <w:r w:rsidRPr="00801C6D">
        <w:rPr>
          <w:rFonts w:ascii="Arial" w:hAnsi="Arial" w:cs="Arial"/>
          <w:i/>
          <w:iCs/>
          <w:sz w:val="20"/>
          <w:szCs w:val="20"/>
        </w:rPr>
        <w:t xml:space="preserve"> Graph of Viscosity Versus Shear Rate F1</w:t>
      </w:r>
    </w:p>
    <w:p w14:paraId="20B81B8D" w14:textId="77777777" w:rsidR="00AE2A46" w:rsidRPr="00801C6D" w:rsidRDefault="00AE2A46" w:rsidP="00A81B3D">
      <w:pPr>
        <w:spacing w:after="120"/>
        <w:jc w:val="center"/>
        <w:rPr>
          <w:rFonts w:ascii="Arial" w:hAnsi="Arial" w:cs="Arial"/>
          <w:sz w:val="20"/>
          <w:szCs w:val="20"/>
        </w:rPr>
      </w:pPr>
      <w:r w:rsidRPr="00801C6D">
        <w:rPr>
          <w:rFonts w:ascii="Arial" w:hAnsi="Arial" w:cs="Arial"/>
          <w:noProof/>
          <w:sz w:val="20"/>
          <w:szCs w:val="20"/>
        </w:rPr>
        <w:drawing>
          <wp:inline distT="0" distB="0" distL="0" distR="0" wp14:anchorId="0A50721E" wp14:editId="196B754D">
            <wp:extent cx="3962400" cy="2619375"/>
            <wp:effectExtent l="19050" t="19050" r="19050" b="9525"/>
            <wp:docPr id="1375459003" name="Chart 1">
              <a:extLst xmlns:a="http://schemas.openxmlformats.org/drawingml/2006/main">
                <a:ext uri="{FF2B5EF4-FFF2-40B4-BE49-F238E27FC236}">
                  <a16:creationId xmlns:a16="http://schemas.microsoft.com/office/drawing/2014/main" id="{1E914578-9246-C5E9-8A70-13EA0E5C090A}"/>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4"/>
              </a:graphicData>
            </a:graphic>
          </wp:inline>
        </w:drawing>
      </w:r>
    </w:p>
    <w:p w14:paraId="5205AE0A" w14:textId="77777777" w:rsidR="00AE2A46" w:rsidRPr="00801C6D" w:rsidRDefault="00AE2A46" w:rsidP="00A81B3D">
      <w:pPr>
        <w:spacing w:after="120"/>
        <w:jc w:val="center"/>
        <w:rPr>
          <w:rFonts w:ascii="Arial" w:hAnsi="Arial" w:cs="Arial"/>
          <w:i/>
          <w:iCs/>
          <w:sz w:val="20"/>
          <w:szCs w:val="20"/>
        </w:rPr>
      </w:pPr>
      <w:r w:rsidRPr="00801C6D">
        <w:rPr>
          <w:rFonts w:ascii="Arial" w:hAnsi="Arial" w:cs="Arial"/>
          <w:b/>
          <w:bCs/>
          <w:i/>
          <w:iCs/>
          <w:sz w:val="20"/>
          <w:szCs w:val="20"/>
        </w:rPr>
        <w:t>Figure 7:</w:t>
      </w:r>
      <w:r w:rsidRPr="00801C6D">
        <w:rPr>
          <w:rFonts w:ascii="Arial" w:hAnsi="Arial" w:cs="Arial"/>
          <w:i/>
          <w:iCs/>
          <w:sz w:val="20"/>
          <w:szCs w:val="20"/>
        </w:rPr>
        <w:t xml:space="preserve"> Graph of Viscosity Versus Shear Rate F2</w:t>
      </w:r>
    </w:p>
    <w:p w14:paraId="799F5053" w14:textId="77777777" w:rsidR="00AE2A46" w:rsidRPr="00801C6D" w:rsidRDefault="00AE2A46" w:rsidP="00AE2A46">
      <w:pPr>
        <w:spacing w:after="120"/>
        <w:jc w:val="center"/>
        <w:rPr>
          <w:rFonts w:ascii="Arial" w:hAnsi="Arial" w:cs="Arial"/>
          <w:sz w:val="20"/>
          <w:szCs w:val="20"/>
        </w:rPr>
      </w:pPr>
      <w:r w:rsidRPr="00801C6D">
        <w:rPr>
          <w:rFonts w:ascii="Arial" w:hAnsi="Arial" w:cs="Arial"/>
          <w:noProof/>
          <w:sz w:val="20"/>
          <w:szCs w:val="20"/>
        </w:rPr>
        <w:drawing>
          <wp:inline distT="0" distB="0" distL="0" distR="0" wp14:anchorId="08F4823B" wp14:editId="6D89EC00">
            <wp:extent cx="4029075" cy="1943100"/>
            <wp:effectExtent l="19050" t="19050" r="9525" b="19050"/>
            <wp:docPr id="922052879" name="Chart 1">
              <a:extLst xmlns:a="http://schemas.openxmlformats.org/drawingml/2006/main">
                <a:ext uri="{FF2B5EF4-FFF2-40B4-BE49-F238E27FC236}">
                  <a16:creationId xmlns:a16="http://schemas.microsoft.com/office/drawing/2014/main" id="{D5D2BBCE-8FF7-7BFB-E018-F564831CC448}"/>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5"/>
              </a:graphicData>
            </a:graphic>
          </wp:inline>
        </w:drawing>
      </w:r>
    </w:p>
    <w:p w14:paraId="6FD98213" w14:textId="77777777" w:rsidR="00AE2A46" w:rsidRPr="00801C6D" w:rsidRDefault="00AE2A46" w:rsidP="00AE2A46">
      <w:pPr>
        <w:spacing w:after="120"/>
        <w:jc w:val="center"/>
        <w:rPr>
          <w:rFonts w:ascii="Arial" w:hAnsi="Arial" w:cs="Arial"/>
          <w:i/>
          <w:iCs/>
          <w:sz w:val="20"/>
          <w:szCs w:val="20"/>
        </w:rPr>
      </w:pPr>
      <w:r w:rsidRPr="00801C6D">
        <w:rPr>
          <w:rFonts w:ascii="Arial" w:hAnsi="Arial" w:cs="Arial"/>
          <w:b/>
          <w:bCs/>
          <w:i/>
          <w:iCs/>
          <w:sz w:val="20"/>
          <w:szCs w:val="20"/>
        </w:rPr>
        <w:t>Figure 8:</w:t>
      </w:r>
      <w:r w:rsidRPr="00801C6D">
        <w:rPr>
          <w:rFonts w:ascii="Arial" w:hAnsi="Arial" w:cs="Arial"/>
          <w:i/>
          <w:iCs/>
          <w:sz w:val="20"/>
          <w:szCs w:val="20"/>
        </w:rPr>
        <w:t xml:space="preserve"> Graph of Viscosity Versus Shear Rate F3</w:t>
      </w:r>
    </w:p>
    <w:p w14:paraId="066011E9" w14:textId="77777777" w:rsidR="00AE2A46" w:rsidRPr="00801C6D" w:rsidRDefault="00AE2A46" w:rsidP="00A81B3D">
      <w:pPr>
        <w:spacing w:after="120"/>
        <w:jc w:val="center"/>
        <w:rPr>
          <w:rFonts w:ascii="Arial" w:hAnsi="Arial" w:cs="Arial"/>
          <w:i/>
          <w:iCs/>
          <w:sz w:val="20"/>
          <w:szCs w:val="20"/>
        </w:rPr>
      </w:pPr>
      <w:r w:rsidRPr="00801C6D">
        <w:rPr>
          <w:rFonts w:ascii="Arial" w:hAnsi="Arial" w:cs="Arial"/>
          <w:b/>
          <w:bCs/>
          <w:i/>
          <w:iCs/>
          <w:sz w:val="20"/>
          <w:szCs w:val="20"/>
        </w:rPr>
        <w:lastRenderedPageBreak/>
        <w:t>Table 3:</w:t>
      </w:r>
      <w:r w:rsidRPr="00801C6D">
        <w:rPr>
          <w:rFonts w:ascii="Arial" w:hAnsi="Arial" w:cs="Arial"/>
          <w:i/>
          <w:iCs/>
          <w:sz w:val="20"/>
          <w:szCs w:val="20"/>
        </w:rPr>
        <w:t xml:space="preserve"> Results of The Viscosity Test </w:t>
      </w:r>
      <w:proofErr w:type="gramStart"/>
      <w:r w:rsidRPr="00801C6D">
        <w:rPr>
          <w:rFonts w:ascii="Arial" w:hAnsi="Arial" w:cs="Arial"/>
          <w:i/>
          <w:iCs/>
          <w:sz w:val="20"/>
          <w:szCs w:val="20"/>
        </w:rPr>
        <w:t>For</w:t>
      </w:r>
      <w:proofErr w:type="gramEnd"/>
      <w:r w:rsidRPr="00801C6D">
        <w:rPr>
          <w:rFonts w:ascii="Arial" w:hAnsi="Arial" w:cs="Arial"/>
          <w:i/>
          <w:iCs/>
          <w:sz w:val="20"/>
          <w:szCs w:val="20"/>
        </w:rPr>
        <w:t xml:space="preserve"> Three Formulations</w:t>
      </w:r>
    </w:p>
    <w:tbl>
      <w:tblPr>
        <w:tblStyle w:val="PlainTable51"/>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80"/>
        <w:gridCol w:w="2880"/>
      </w:tblGrid>
      <w:tr w:rsidR="00AE2A46" w:rsidRPr="00801C6D" w14:paraId="41BD19C6" w14:textId="77777777" w:rsidTr="00A81B3D">
        <w:trPr>
          <w:cnfStyle w:val="100000000000" w:firstRow="1" w:lastRow="0" w:firstColumn="0" w:lastColumn="0" w:oddVBand="0" w:evenVBand="0" w:oddHBand="0" w:evenHBand="0" w:firstRowFirstColumn="0" w:firstRowLastColumn="0" w:lastRowFirstColumn="0" w:lastRowLastColumn="0"/>
          <w:trHeight w:val="288"/>
          <w:jc w:val="center"/>
        </w:trPr>
        <w:tc>
          <w:tcPr>
            <w:cnfStyle w:val="001000000100" w:firstRow="0" w:lastRow="0" w:firstColumn="1" w:lastColumn="0" w:oddVBand="0" w:evenVBand="0" w:oddHBand="0" w:evenHBand="0" w:firstRowFirstColumn="1" w:firstRowLastColumn="0" w:lastRowFirstColumn="0" w:lastRowLastColumn="0"/>
            <w:tcW w:w="2880" w:type="dxa"/>
            <w:tcBorders>
              <w:bottom w:val="none" w:sz="0" w:space="0" w:color="auto"/>
              <w:right w:val="none" w:sz="0" w:space="0" w:color="auto"/>
            </w:tcBorders>
            <w:shd w:val="clear" w:color="auto" w:fill="auto"/>
          </w:tcPr>
          <w:p w14:paraId="2E9BC6A0" w14:textId="77777777" w:rsidR="00AE2A46" w:rsidRPr="00801C6D" w:rsidRDefault="00AE2A46" w:rsidP="00B46A29">
            <w:pPr>
              <w:jc w:val="left"/>
              <w:rPr>
                <w:rFonts w:ascii="Arial" w:hAnsi="Arial" w:cs="Arial"/>
                <w:b/>
                <w:bCs/>
                <w:i w:val="0"/>
                <w:iCs w:val="0"/>
                <w:sz w:val="18"/>
                <w:szCs w:val="18"/>
              </w:rPr>
            </w:pPr>
            <w:r w:rsidRPr="00801C6D">
              <w:rPr>
                <w:rFonts w:ascii="Arial" w:hAnsi="Arial" w:cs="Arial"/>
                <w:b/>
                <w:bCs/>
                <w:i w:val="0"/>
                <w:iCs w:val="0"/>
                <w:sz w:val="18"/>
                <w:szCs w:val="18"/>
              </w:rPr>
              <w:t>Formulation</w:t>
            </w:r>
          </w:p>
        </w:tc>
        <w:tc>
          <w:tcPr>
            <w:tcW w:w="2880" w:type="dxa"/>
            <w:tcBorders>
              <w:bottom w:val="none" w:sz="0" w:space="0" w:color="auto"/>
            </w:tcBorders>
            <w:shd w:val="clear" w:color="auto" w:fill="auto"/>
          </w:tcPr>
          <w:p w14:paraId="291FBDB2" w14:textId="77777777" w:rsidR="00AE2A46" w:rsidRPr="00801C6D" w:rsidRDefault="00AE2A46" w:rsidP="00B46A29">
            <w:pPr>
              <w:jc w:val="center"/>
              <w:cnfStyle w:val="100000000000" w:firstRow="1" w:lastRow="0" w:firstColumn="0" w:lastColumn="0" w:oddVBand="0" w:evenVBand="0" w:oddHBand="0" w:evenHBand="0" w:firstRowFirstColumn="0" w:firstRowLastColumn="0" w:lastRowFirstColumn="0" w:lastRowLastColumn="0"/>
              <w:rPr>
                <w:rFonts w:ascii="Arial" w:hAnsi="Arial" w:cs="Arial"/>
                <w:b/>
                <w:bCs/>
                <w:i w:val="0"/>
                <w:iCs w:val="0"/>
                <w:sz w:val="18"/>
                <w:szCs w:val="18"/>
              </w:rPr>
            </w:pPr>
            <w:r w:rsidRPr="00801C6D">
              <w:rPr>
                <w:rFonts w:ascii="Arial" w:hAnsi="Arial" w:cs="Arial"/>
                <w:b/>
                <w:bCs/>
                <w:i w:val="0"/>
                <w:iCs w:val="0"/>
                <w:sz w:val="18"/>
                <w:szCs w:val="18"/>
              </w:rPr>
              <w:t>Viscosity (</w:t>
            </w:r>
            <w:proofErr w:type="gramStart"/>
            <w:r w:rsidRPr="00801C6D">
              <w:rPr>
                <w:rFonts w:ascii="Arial" w:hAnsi="Arial" w:cs="Arial"/>
                <w:b/>
                <w:bCs/>
                <w:i w:val="0"/>
                <w:iCs w:val="0"/>
                <w:sz w:val="18"/>
                <w:szCs w:val="18"/>
              </w:rPr>
              <w:t>Pa.s</w:t>
            </w:r>
            <w:proofErr w:type="gramEnd"/>
            <w:r w:rsidRPr="00801C6D">
              <w:rPr>
                <w:rFonts w:ascii="Arial" w:hAnsi="Arial" w:cs="Arial"/>
                <w:b/>
                <w:bCs/>
                <w:i w:val="0"/>
                <w:iCs w:val="0"/>
                <w:sz w:val="18"/>
                <w:szCs w:val="18"/>
              </w:rPr>
              <w:t>)±SD</w:t>
            </w:r>
          </w:p>
        </w:tc>
      </w:tr>
      <w:tr w:rsidR="00AE2A46" w:rsidRPr="00801C6D" w14:paraId="62DC1651" w14:textId="77777777" w:rsidTr="00A81B3D">
        <w:trPr>
          <w:cnfStyle w:val="000000100000" w:firstRow="0" w:lastRow="0" w:firstColumn="0" w:lastColumn="0" w:oddVBand="0" w:evenVBand="0" w:oddHBand="1" w:evenHBand="0" w:firstRowFirstColumn="0" w:firstRowLastColumn="0" w:lastRowFirstColumn="0" w:lastRowLastColumn="0"/>
          <w:trHeight w:val="288"/>
          <w:jc w:val="center"/>
        </w:trPr>
        <w:tc>
          <w:tcPr>
            <w:cnfStyle w:val="001000000000" w:firstRow="0" w:lastRow="0" w:firstColumn="1" w:lastColumn="0" w:oddVBand="0" w:evenVBand="0" w:oddHBand="0" w:evenHBand="0" w:firstRowFirstColumn="0" w:firstRowLastColumn="0" w:lastRowFirstColumn="0" w:lastRowLastColumn="0"/>
            <w:tcW w:w="2880" w:type="dxa"/>
            <w:tcBorders>
              <w:right w:val="none" w:sz="0" w:space="0" w:color="auto"/>
            </w:tcBorders>
            <w:shd w:val="clear" w:color="auto" w:fill="auto"/>
          </w:tcPr>
          <w:p w14:paraId="0E929F0B" w14:textId="77777777" w:rsidR="00AE2A46" w:rsidRPr="00801C6D" w:rsidRDefault="00AE2A46" w:rsidP="00B46A29">
            <w:pPr>
              <w:jc w:val="left"/>
              <w:rPr>
                <w:rFonts w:ascii="Arial" w:hAnsi="Arial" w:cs="Arial"/>
                <w:i w:val="0"/>
                <w:iCs w:val="0"/>
                <w:sz w:val="18"/>
                <w:szCs w:val="18"/>
              </w:rPr>
            </w:pPr>
            <w:r w:rsidRPr="00801C6D">
              <w:rPr>
                <w:rFonts w:ascii="Arial" w:hAnsi="Arial" w:cs="Arial"/>
                <w:i w:val="0"/>
                <w:iCs w:val="0"/>
                <w:sz w:val="18"/>
                <w:szCs w:val="18"/>
              </w:rPr>
              <w:t>F1</w:t>
            </w:r>
          </w:p>
        </w:tc>
        <w:tc>
          <w:tcPr>
            <w:tcW w:w="2880" w:type="dxa"/>
            <w:shd w:val="clear" w:color="auto" w:fill="auto"/>
          </w:tcPr>
          <w:p w14:paraId="29EC21DE" w14:textId="77777777" w:rsidR="00AE2A46" w:rsidRPr="00801C6D" w:rsidRDefault="00AE2A46" w:rsidP="00B46A29">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r w:rsidRPr="00801C6D">
              <w:rPr>
                <w:rFonts w:ascii="Arial" w:hAnsi="Arial" w:cs="Arial"/>
                <w:sz w:val="18"/>
                <w:szCs w:val="18"/>
              </w:rPr>
              <w:t>8.32 ± 1.06AB</w:t>
            </w:r>
          </w:p>
        </w:tc>
      </w:tr>
      <w:tr w:rsidR="00AE2A46" w:rsidRPr="00801C6D" w14:paraId="5A68CF0D" w14:textId="77777777" w:rsidTr="00A81B3D">
        <w:trPr>
          <w:trHeight w:val="288"/>
          <w:jc w:val="center"/>
        </w:trPr>
        <w:tc>
          <w:tcPr>
            <w:cnfStyle w:val="001000000000" w:firstRow="0" w:lastRow="0" w:firstColumn="1" w:lastColumn="0" w:oddVBand="0" w:evenVBand="0" w:oddHBand="0" w:evenHBand="0" w:firstRowFirstColumn="0" w:firstRowLastColumn="0" w:lastRowFirstColumn="0" w:lastRowLastColumn="0"/>
            <w:tcW w:w="2880" w:type="dxa"/>
            <w:tcBorders>
              <w:right w:val="none" w:sz="0" w:space="0" w:color="auto"/>
            </w:tcBorders>
            <w:shd w:val="clear" w:color="auto" w:fill="auto"/>
          </w:tcPr>
          <w:p w14:paraId="30510502" w14:textId="77777777" w:rsidR="00AE2A46" w:rsidRPr="00801C6D" w:rsidRDefault="00AE2A46" w:rsidP="00B46A29">
            <w:pPr>
              <w:jc w:val="left"/>
              <w:rPr>
                <w:rFonts w:ascii="Arial" w:hAnsi="Arial" w:cs="Arial"/>
                <w:i w:val="0"/>
                <w:iCs w:val="0"/>
                <w:sz w:val="18"/>
                <w:szCs w:val="18"/>
              </w:rPr>
            </w:pPr>
            <w:r w:rsidRPr="00801C6D">
              <w:rPr>
                <w:rFonts w:ascii="Arial" w:hAnsi="Arial" w:cs="Arial"/>
                <w:i w:val="0"/>
                <w:iCs w:val="0"/>
                <w:sz w:val="18"/>
                <w:szCs w:val="18"/>
              </w:rPr>
              <w:t>F2</w:t>
            </w:r>
          </w:p>
        </w:tc>
        <w:tc>
          <w:tcPr>
            <w:tcW w:w="2880" w:type="dxa"/>
          </w:tcPr>
          <w:p w14:paraId="2F39E090" w14:textId="77777777" w:rsidR="00AE2A46" w:rsidRPr="00801C6D" w:rsidRDefault="00AE2A46" w:rsidP="00B46A29">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801C6D">
              <w:rPr>
                <w:rFonts w:ascii="Arial" w:hAnsi="Arial" w:cs="Arial"/>
                <w:sz w:val="18"/>
                <w:szCs w:val="18"/>
              </w:rPr>
              <w:t>10.02 ± 0.89A</w:t>
            </w:r>
          </w:p>
        </w:tc>
      </w:tr>
      <w:tr w:rsidR="00AE2A46" w:rsidRPr="00801C6D" w14:paraId="61007CCC" w14:textId="77777777" w:rsidTr="00A81B3D">
        <w:trPr>
          <w:cnfStyle w:val="000000100000" w:firstRow="0" w:lastRow="0" w:firstColumn="0" w:lastColumn="0" w:oddVBand="0" w:evenVBand="0" w:oddHBand="1" w:evenHBand="0" w:firstRowFirstColumn="0" w:firstRowLastColumn="0" w:lastRowFirstColumn="0" w:lastRowLastColumn="0"/>
          <w:trHeight w:val="288"/>
          <w:jc w:val="center"/>
        </w:trPr>
        <w:tc>
          <w:tcPr>
            <w:cnfStyle w:val="001000000000" w:firstRow="0" w:lastRow="0" w:firstColumn="1" w:lastColumn="0" w:oddVBand="0" w:evenVBand="0" w:oddHBand="0" w:evenHBand="0" w:firstRowFirstColumn="0" w:firstRowLastColumn="0" w:lastRowFirstColumn="0" w:lastRowLastColumn="0"/>
            <w:tcW w:w="2880" w:type="dxa"/>
            <w:tcBorders>
              <w:right w:val="none" w:sz="0" w:space="0" w:color="auto"/>
            </w:tcBorders>
            <w:shd w:val="clear" w:color="auto" w:fill="auto"/>
          </w:tcPr>
          <w:p w14:paraId="01DBFE4B" w14:textId="77777777" w:rsidR="00AE2A46" w:rsidRPr="00801C6D" w:rsidRDefault="00AE2A46" w:rsidP="00B46A29">
            <w:pPr>
              <w:jc w:val="left"/>
              <w:rPr>
                <w:rFonts w:ascii="Arial" w:hAnsi="Arial" w:cs="Arial"/>
                <w:i w:val="0"/>
                <w:iCs w:val="0"/>
                <w:sz w:val="18"/>
                <w:szCs w:val="18"/>
              </w:rPr>
            </w:pPr>
            <w:r w:rsidRPr="00801C6D">
              <w:rPr>
                <w:rFonts w:ascii="Arial" w:hAnsi="Arial" w:cs="Arial"/>
                <w:i w:val="0"/>
                <w:iCs w:val="0"/>
                <w:sz w:val="18"/>
                <w:szCs w:val="18"/>
              </w:rPr>
              <w:t>F3</w:t>
            </w:r>
          </w:p>
        </w:tc>
        <w:tc>
          <w:tcPr>
            <w:tcW w:w="2880" w:type="dxa"/>
            <w:shd w:val="clear" w:color="auto" w:fill="auto"/>
          </w:tcPr>
          <w:p w14:paraId="6FB72B2E" w14:textId="77777777" w:rsidR="00AE2A46" w:rsidRPr="00801C6D" w:rsidRDefault="00AE2A46" w:rsidP="00B46A29">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r w:rsidRPr="00801C6D">
              <w:rPr>
                <w:rFonts w:ascii="Arial" w:hAnsi="Arial" w:cs="Arial"/>
                <w:sz w:val="18"/>
                <w:szCs w:val="18"/>
              </w:rPr>
              <w:t>7.40 ± 0.75B</w:t>
            </w:r>
          </w:p>
        </w:tc>
      </w:tr>
    </w:tbl>
    <w:p w14:paraId="6AC07D0B" w14:textId="77777777" w:rsidR="00AE2A46" w:rsidRPr="00801C6D" w:rsidRDefault="00AE2A46" w:rsidP="00A81B3D">
      <w:pPr>
        <w:spacing w:after="120"/>
        <w:ind w:left="900"/>
        <w:jc w:val="both"/>
        <w:rPr>
          <w:rFonts w:ascii="Arial" w:hAnsi="Arial" w:cs="Arial"/>
          <w:i/>
          <w:iCs/>
          <w:sz w:val="18"/>
          <w:szCs w:val="18"/>
        </w:rPr>
      </w:pPr>
      <w:r w:rsidRPr="00801C6D">
        <w:rPr>
          <w:rFonts w:ascii="Arial" w:hAnsi="Arial" w:cs="Arial"/>
          <w:i/>
          <w:iCs/>
          <w:sz w:val="18"/>
          <w:szCs w:val="18"/>
        </w:rPr>
        <w:t xml:space="preserve">       Values with no shared letters vary significantly at p&lt;0.05, SD = standard deviation</w:t>
      </w:r>
    </w:p>
    <w:p w14:paraId="7589EE27" w14:textId="77777777" w:rsidR="00AE2A46" w:rsidRPr="00801C6D" w:rsidRDefault="00AE2A46" w:rsidP="00AE2A46">
      <w:pPr>
        <w:spacing w:after="120" w:line="276" w:lineRule="auto"/>
        <w:jc w:val="both"/>
        <w:rPr>
          <w:rFonts w:ascii="Arial" w:hAnsi="Arial" w:cs="Arial"/>
          <w:i/>
          <w:iCs/>
          <w:sz w:val="20"/>
          <w:szCs w:val="20"/>
        </w:rPr>
      </w:pPr>
      <w:r w:rsidRPr="00801C6D">
        <w:rPr>
          <w:rFonts w:ascii="Arial" w:hAnsi="Arial" w:cs="Arial"/>
          <w:i/>
          <w:iCs/>
          <w:sz w:val="20"/>
          <w:szCs w:val="20"/>
        </w:rPr>
        <w:t>Stability Test</w:t>
      </w:r>
    </w:p>
    <w:p w14:paraId="4782423B" w14:textId="77777777" w:rsidR="00AE2A46" w:rsidRPr="00801C6D" w:rsidRDefault="00AE2A46" w:rsidP="00AE2A46">
      <w:pPr>
        <w:spacing w:after="120" w:line="276" w:lineRule="auto"/>
        <w:jc w:val="both"/>
        <w:rPr>
          <w:rFonts w:ascii="Arial" w:hAnsi="Arial" w:cs="Arial"/>
          <w:sz w:val="20"/>
          <w:szCs w:val="20"/>
        </w:rPr>
      </w:pPr>
      <w:r w:rsidRPr="00801C6D">
        <w:rPr>
          <w:rFonts w:ascii="Arial" w:hAnsi="Arial" w:cs="Arial"/>
          <w:sz w:val="20"/>
          <w:szCs w:val="20"/>
        </w:rPr>
        <w:t xml:space="preserve">The creams were subjected to different temperatures of 8 °C ± 2 °C, 25 °C ± 2 °C, and 40 °C ± 2 °C for 28 days. Likewise, samples were collected at similar temperatures and were taken at specific intervals during the investigation, including on days 3, 7, 14, 21, and 28. These samples were then analyzed for the formulation's pH and appearance. It was observed (Table 4) that the physical appearance of formulations F1, F2, and F3 remained unchanged even after being exposed to various conditions for 28 days. All three observed formulations do not have a separation phase, and their colour remains unchanged. The pH value was measured, and although there was a slight change, it remained within the safe range of 5.5–6.5. The cycling tests were conducted with six storage cycles, changing between 8 °C and 40 ˚C temperatures. After each cycle, the samples were measured for their pH value and visually inspected for appearance (Table 4). The pH values of </w:t>
      </w:r>
      <w:r w:rsidRPr="00C83771">
        <w:rPr>
          <w:rFonts w:ascii="Arial" w:hAnsi="Arial" w:cs="Arial"/>
          <w:sz w:val="20"/>
          <w:szCs w:val="20"/>
        </w:rPr>
        <w:t xml:space="preserve">the creams were measured (Smaoui </w:t>
      </w:r>
      <w:r w:rsidRPr="00C83771">
        <w:rPr>
          <w:rFonts w:ascii="Arial" w:hAnsi="Arial" w:cs="Arial"/>
          <w:i/>
          <w:iCs/>
          <w:sz w:val="20"/>
          <w:szCs w:val="20"/>
        </w:rPr>
        <w:t>et al</w:t>
      </w:r>
      <w:r w:rsidRPr="00C83771">
        <w:rPr>
          <w:rFonts w:ascii="Arial" w:hAnsi="Arial" w:cs="Arial"/>
          <w:sz w:val="20"/>
          <w:szCs w:val="20"/>
        </w:rPr>
        <w:t xml:space="preserve">., 2017; Maha </w:t>
      </w:r>
      <w:r w:rsidRPr="00C83771">
        <w:rPr>
          <w:rFonts w:ascii="Arial" w:hAnsi="Arial" w:cs="Arial"/>
          <w:i/>
          <w:iCs/>
          <w:sz w:val="20"/>
          <w:szCs w:val="20"/>
        </w:rPr>
        <w:t>et al</w:t>
      </w:r>
      <w:r w:rsidRPr="00C83771">
        <w:rPr>
          <w:rFonts w:ascii="Arial" w:hAnsi="Arial" w:cs="Arial"/>
          <w:sz w:val="20"/>
          <w:szCs w:val="20"/>
        </w:rPr>
        <w:t>., 2018).</w:t>
      </w:r>
    </w:p>
    <w:p w14:paraId="6D3BA47F" w14:textId="77777777" w:rsidR="00AE2A46" w:rsidRPr="00801C6D" w:rsidRDefault="00AE2A46" w:rsidP="00AE2A46">
      <w:pPr>
        <w:spacing w:after="120"/>
        <w:jc w:val="center"/>
        <w:rPr>
          <w:rFonts w:ascii="Arial" w:hAnsi="Arial" w:cs="Arial"/>
          <w:i/>
          <w:iCs/>
          <w:sz w:val="20"/>
          <w:szCs w:val="20"/>
        </w:rPr>
      </w:pPr>
      <w:r w:rsidRPr="00801C6D">
        <w:rPr>
          <w:rFonts w:ascii="Arial" w:hAnsi="Arial" w:cs="Arial"/>
          <w:b/>
          <w:bCs/>
          <w:i/>
          <w:iCs/>
          <w:sz w:val="20"/>
          <w:szCs w:val="20"/>
        </w:rPr>
        <w:t>Table 4:</w:t>
      </w:r>
      <w:r w:rsidRPr="00801C6D">
        <w:rPr>
          <w:rFonts w:ascii="Arial" w:hAnsi="Arial" w:cs="Arial"/>
          <w:i/>
          <w:iCs/>
          <w:sz w:val="20"/>
          <w:szCs w:val="20"/>
        </w:rPr>
        <w:t xml:space="preserve"> Long-Term Stability Observation Results at The Temperatures of 8 °C, 25 °C And 40 °C</w:t>
      </w:r>
    </w:p>
    <w:tbl>
      <w:tblPr>
        <w:tblStyle w:val="GridTable1Light"/>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10"/>
        <w:gridCol w:w="710"/>
        <w:gridCol w:w="1797"/>
        <w:gridCol w:w="2016"/>
        <w:gridCol w:w="2060"/>
      </w:tblGrid>
      <w:tr w:rsidR="00AE2A46" w:rsidRPr="00801C6D" w14:paraId="5C08C7A1" w14:textId="77777777" w:rsidTr="00A81B3D">
        <w:trPr>
          <w:cnfStyle w:val="100000000000" w:firstRow="1" w:lastRow="0" w:firstColumn="0" w:lastColumn="0" w:oddVBand="0" w:evenVBand="0" w:oddHBand="0" w:evenHBand="0" w:firstRowFirstColumn="0" w:firstRowLastColumn="0" w:lastRowFirstColumn="0" w:lastRowLastColumn="0"/>
          <w:trHeight w:val="288"/>
          <w:jc w:val="center"/>
        </w:trPr>
        <w:tc>
          <w:tcPr>
            <w:cnfStyle w:val="001000000000" w:firstRow="0" w:lastRow="0" w:firstColumn="1" w:lastColumn="0" w:oddVBand="0" w:evenVBand="0" w:oddHBand="0" w:evenHBand="0" w:firstRowFirstColumn="0" w:firstRowLastColumn="0" w:lastRowFirstColumn="0" w:lastRowLastColumn="0"/>
            <w:tcW w:w="8093" w:type="dxa"/>
            <w:gridSpan w:val="5"/>
            <w:tcBorders>
              <w:bottom w:val="none" w:sz="0" w:space="0" w:color="auto"/>
            </w:tcBorders>
          </w:tcPr>
          <w:p w14:paraId="242289AF" w14:textId="77777777" w:rsidR="00AE2A46" w:rsidRPr="00801C6D" w:rsidRDefault="00AE2A46" w:rsidP="00B46A29">
            <w:pPr>
              <w:jc w:val="center"/>
              <w:rPr>
                <w:rFonts w:ascii="Arial" w:hAnsi="Arial" w:cs="Arial"/>
                <w:sz w:val="18"/>
                <w:szCs w:val="18"/>
              </w:rPr>
            </w:pPr>
            <w:r w:rsidRPr="00801C6D">
              <w:rPr>
                <w:rFonts w:ascii="Arial" w:hAnsi="Arial" w:cs="Arial"/>
                <w:sz w:val="18"/>
                <w:szCs w:val="18"/>
              </w:rPr>
              <w:t>Temperature (8 °C)</w:t>
            </w:r>
          </w:p>
        </w:tc>
      </w:tr>
      <w:tr w:rsidR="00AE2A46" w:rsidRPr="00801C6D" w14:paraId="0D7035DD" w14:textId="77777777" w:rsidTr="00A81B3D">
        <w:trPr>
          <w:trHeight w:val="288"/>
          <w:jc w:val="center"/>
        </w:trPr>
        <w:tc>
          <w:tcPr>
            <w:cnfStyle w:val="001000000000" w:firstRow="0" w:lastRow="0" w:firstColumn="1" w:lastColumn="0" w:oddVBand="0" w:evenVBand="0" w:oddHBand="0" w:evenHBand="0" w:firstRowFirstColumn="0" w:firstRowLastColumn="0" w:lastRowFirstColumn="0" w:lastRowLastColumn="0"/>
            <w:tcW w:w="1510" w:type="dxa"/>
          </w:tcPr>
          <w:p w14:paraId="57DF4926" w14:textId="77777777" w:rsidR="00AE2A46" w:rsidRPr="00801C6D" w:rsidRDefault="00AE2A46" w:rsidP="00B46A29">
            <w:pPr>
              <w:rPr>
                <w:rFonts w:ascii="Arial" w:hAnsi="Arial" w:cs="Arial"/>
                <w:sz w:val="18"/>
                <w:szCs w:val="18"/>
              </w:rPr>
            </w:pPr>
            <w:r w:rsidRPr="00801C6D">
              <w:rPr>
                <w:rFonts w:ascii="Arial" w:hAnsi="Arial" w:cs="Arial"/>
                <w:sz w:val="18"/>
                <w:szCs w:val="18"/>
              </w:rPr>
              <w:t>Formulation</w:t>
            </w:r>
          </w:p>
        </w:tc>
        <w:tc>
          <w:tcPr>
            <w:tcW w:w="710" w:type="dxa"/>
          </w:tcPr>
          <w:p w14:paraId="2C061298" w14:textId="77777777" w:rsidR="00AE2A46" w:rsidRPr="00801C6D" w:rsidRDefault="00AE2A46" w:rsidP="00B46A29">
            <w:pPr>
              <w:jc w:val="center"/>
              <w:cnfStyle w:val="000000000000" w:firstRow="0" w:lastRow="0" w:firstColumn="0" w:lastColumn="0" w:oddVBand="0" w:evenVBand="0" w:oddHBand="0" w:evenHBand="0" w:firstRowFirstColumn="0" w:firstRowLastColumn="0" w:lastRowFirstColumn="0" w:lastRowLastColumn="0"/>
              <w:rPr>
                <w:rFonts w:ascii="Arial" w:hAnsi="Arial" w:cs="Arial"/>
                <w:b/>
                <w:bCs/>
                <w:sz w:val="18"/>
                <w:szCs w:val="18"/>
              </w:rPr>
            </w:pPr>
            <w:r w:rsidRPr="00801C6D">
              <w:rPr>
                <w:rFonts w:ascii="Arial" w:hAnsi="Arial" w:cs="Arial"/>
                <w:b/>
                <w:bCs/>
                <w:sz w:val="18"/>
                <w:szCs w:val="18"/>
              </w:rPr>
              <w:t>Day</w:t>
            </w:r>
          </w:p>
        </w:tc>
        <w:tc>
          <w:tcPr>
            <w:tcW w:w="1797" w:type="dxa"/>
          </w:tcPr>
          <w:p w14:paraId="00041841" w14:textId="77777777" w:rsidR="00AE2A46" w:rsidRPr="00801C6D" w:rsidRDefault="00AE2A46" w:rsidP="00B46A29">
            <w:pPr>
              <w:jc w:val="center"/>
              <w:cnfStyle w:val="000000000000" w:firstRow="0" w:lastRow="0" w:firstColumn="0" w:lastColumn="0" w:oddVBand="0" w:evenVBand="0" w:oddHBand="0" w:evenHBand="0" w:firstRowFirstColumn="0" w:firstRowLastColumn="0" w:lastRowFirstColumn="0" w:lastRowLastColumn="0"/>
              <w:rPr>
                <w:rFonts w:ascii="Arial" w:hAnsi="Arial" w:cs="Arial"/>
                <w:b/>
                <w:bCs/>
                <w:sz w:val="18"/>
                <w:szCs w:val="18"/>
              </w:rPr>
            </w:pPr>
            <w:r w:rsidRPr="00801C6D">
              <w:rPr>
                <w:rFonts w:ascii="Arial" w:hAnsi="Arial" w:cs="Arial"/>
                <w:b/>
                <w:bCs/>
                <w:sz w:val="18"/>
                <w:szCs w:val="18"/>
              </w:rPr>
              <w:t>pH value ±SD</w:t>
            </w:r>
          </w:p>
        </w:tc>
        <w:tc>
          <w:tcPr>
            <w:tcW w:w="2016" w:type="dxa"/>
          </w:tcPr>
          <w:p w14:paraId="38233095" w14:textId="77777777" w:rsidR="00AE2A46" w:rsidRPr="00801C6D" w:rsidRDefault="00AE2A46" w:rsidP="00B46A29">
            <w:pPr>
              <w:jc w:val="center"/>
              <w:cnfStyle w:val="000000000000" w:firstRow="0" w:lastRow="0" w:firstColumn="0" w:lastColumn="0" w:oddVBand="0" w:evenVBand="0" w:oddHBand="0" w:evenHBand="0" w:firstRowFirstColumn="0" w:firstRowLastColumn="0" w:lastRowFirstColumn="0" w:lastRowLastColumn="0"/>
              <w:rPr>
                <w:rFonts w:ascii="Arial" w:hAnsi="Arial" w:cs="Arial"/>
                <w:b/>
                <w:bCs/>
                <w:sz w:val="18"/>
                <w:szCs w:val="18"/>
              </w:rPr>
            </w:pPr>
            <w:r w:rsidRPr="00801C6D">
              <w:rPr>
                <w:rFonts w:ascii="Arial" w:hAnsi="Arial" w:cs="Arial"/>
                <w:b/>
                <w:bCs/>
                <w:sz w:val="18"/>
                <w:szCs w:val="18"/>
              </w:rPr>
              <w:t>Color</w:t>
            </w:r>
          </w:p>
        </w:tc>
        <w:tc>
          <w:tcPr>
            <w:tcW w:w="2060" w:type="dxa"/>
          </w:tcPr>
          <w:p w14:paraId="390B9C19" w14:textId="77777777" w:rsidR="00AE2A46" w:rsidRPr="00801C6D" w:rsidRDefault="00AE2A46" w:rsidP="00B46A29">
            <w:pPr>
              <w:jc w:val="center"/>
              <w:cnfStyle w:val="000000000000" w:firstRow="0" w:lastRow="0" w:firstColumn="0" w:lastColumn="0" w:oddVBand="0" w:evenVBand="0" w:oddHBand="0" w:evenHBand="0" w:firstRowFirstColumn="0" w:firstRowLastColumn="0" w:lastRowFirstColumn="0" w:lastRowLastColumn="0"/>
              <w:rPr>
                <w:rFonts w:ascii="Arial" w:hAnsi="Arial" w:cs="Arial"/>
                <w:b/>
                <w:bCs/>
                <w:sz w:val="18"/>
                <w:szCs w:val="18"/>
              </w:rPr>
            </w:pPr>
            <w:r w:rsidRPr="00801C6D">
              <w:rPr>
                <w:rFonts w:ascii="Arial" w:hAnsi="Arial" w:cs="Arial"/>
                <w:b/>
                <w:bCs/>
                <w:sz w:val="18"/>
                <w:szCs w:val="18"/>
              </w:rPr>
              <w:t>Phase Separation</w:t>
            </w:r>
          </w:p>
        </w:tc>
      </w:tr>
      <w:tr w:rsidR="00AE2A46" w:rsidRPr="00801C6D" w14:paraId="6F1AA43E" w14:textId="77777777" w:rsidTr="00A81B3D">
        <w:trPr>
          <w:trHeight w:val="288"/>
          <w:jc w:val="center"/>
        </w:trPr>
        <w:tc>
          <w:tcPr>
            <w:cnfStyle w:val="001000000000" w:firstRow="0" w:lastRow="0" w:firstColumn="1" w:lastColumn="0" w:oddVBand="0" w:evenVBand="0" w:oddHBand="0" w:evenHBand="0" w:firstRowFirstColumn="0" w:firstRowLastColumn="0" w:lastRowFirstColumn="0" w:lastRowLastColumn="0"/>
            <w:tcW w:w="1510" w:type="dxa"/>
            <w:vMerge w:val="restart"/>
            <w:vAlign w:val="center"/>
          </w:tcPr>
          <w:p w14:paraId="24CF1D67" w14:textId="77777777" w:rsidR="00AE2A46" w:rsidRPr="00801C6D" w:rsidRDefault="00AE2A46" w:rsidP="00B46A29">
            <w:pPr>
              <w:rPr>
                <w:rFonts w:ascii="Arial" w:hAnsi="Arial" w:cs="Arial"/>
                <w:sz w:val="18"/>
                <w:szCs w:val="18"/>
              </w:rPr>
            </w:pPr>
            <w:r w:rsidRPr="00801C6D">
              <w:rPr>
                <w:rFonts w:ascii="Arial" w:hAnsi="Arial" w:cs="Arial"/>
                <w:sz w:val="18"/>
                <w:szCs w:val="18"/>
              </w:rPr>
              <w:t>F1</w:t>
            </w:r>
          </w:p>
        </w:tc>
        <w:tc>
          <w:tcPr>
            <w:tcW w:w="710" w:type="dxa"/>
          </w:tcPr>
          <w:p w14:paraId="38A7C226" w14:textId="77777777" w:rsidR="00AE2A46" w:rsidRPr="00801C6D" w:rsidRDefault="00AE2A46" w:rsidP="00B46A29">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801C6D">
              <w:rPr>
                <w:rFonts w:ascii="Arial" w:hAnsi="Arial" w:cs="Arial"/>
                <w:sz w:val="18"/>
                <w:szCs w:val="18"/>
              </w:rPr>
              <w:t>1</w:t>
            </w:r>
          </w:p>
        </w:tc>
        <w:tc>
          <w:tcPr>
            <w:tcW w:w="1797" w:type="dxa"/>
          </w:tcPr>
          <w:p w14:paraId="16CFFB75" w14:textId="77777777" w:rsidR="00AE2A46" w:rsidRPr="00801C6D" w:rsidRDefault="00AE2A46" w:rsidP="00B46A29">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801C6D">
              <w:rPr>
                <w:rFonts w:ascii="Arial" w:hAnsi="Arial" w:cs="Arial"/>
                <w:sz w:val="18"/>
                <w:szCs w:val="18"/>
              </w:rPr>
              <w:t>5.58 ±0.01C</w:t>
            </w:r>
          </w:p>
        </w:tc>
        <w:tc>
          <w:tcPr>
            <w:tcW w:w="2016" w:type="dxa"/>
          </w:tcPr>
          <w:p w14:paraId="43EE6E34" w14:textId="77777777" w:rsidR="00AE2A46" w:rsidRPr="00801C6D" w:rsidRDefault="00AE2A46" w:rsidP="00B46A29">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801C6D">
              <w:rPr>
                <w:rFonts w:ascii="Arial" w:hAnsi="Arial" w:cs="Arial"/>
                <w:sz w:val="18"/>
                <w:szCs w:val="18"/>
              </w:rPr>
              <w:t>White</w:t>
            </w:r>
          </w:p>
        </w:tc>
        <w:tc>
          <w:tcPr>
            <w:tcW w:w="2060" w:type="dxa"/>
          </w:tcPr>
          <w:p w14:paraId="2D068B4C" w14:textId="77777777" w:rsidR="00AE2A46" w:rsidRPr="00801C6D" w:rsidRDefault="00AE2A46" w:rsidP="00B46A29">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801C6D">
              <w:rPr>
                <w:rFonts w:ascii="Arial" w:hAnsi="Arial" w:cs="Arial"/>
                <w:sz w:val="18"/>
                <w:szCs w:val="18"/>
              </w:rPr>
              <w:t>No separation</w:t>
            </w:r>
          </w:p>
        </w:tc>
      </w:tr>
      <w:tr w:rsidR="00AE2A46" w:rsidRPr="00801C6D" w14:paraId="091054E7" w14:textId="77777777" w:rsidTr="00A81B3D">
        <w:trPr>
          <w:trHeight w:val="288"/>
          <w:jc w:val="center"/>
        </w:trPr>
        <w:tc>
          <w:tcPr>
            <w:cnfStyle w:val="001000000000" w:firstRow="0" w:lastRow="0" w:firstColumn="1" w:lastColumn="0" w:oddVBand="0" w:evenVBand="0" w:oddHBand="0" w:evenHBand="0" w:firstRowFirstColumn="0" w:firstRowLastColumn="0" w:lastRowFirstColumn="0" w:lastRowLastColumn="0"/>
            <w:tcW w:w="1510" w:type="dxa"/>
            <w:vMerge/>
          </w:tcPr>
          <w:p w14:paraId="6C1BE338" w14:textId="77777777" w:rsidR="00AE2A46" w:rsidRPr="00801C6D" w:rsidRDefault="00AE2A46" w:rsidP="00B46A29">
            <w:pPr>
              <w:rPr>
                <w:rFonts w:ascii="Arial" w:hAnsi="Arial" w:cs="Arial"/>
                <w:sz w:val="18"/>
                <w:szCs w:val="18"/>
              </w:rPr>
            </w:pPr>
          </w:p>
        </w:tc>
        <w:tc>
          <w:tcPr>
            <w:tcW w:w="710" w:type="dxa"/>
          </w:tcPr>
          <w:p w14:paraId="04E8CF90" w14:textId="77777777" w:rsidR="00AE2A46" w:rsidRPr="00801C6D" w:rsidRDefault="00AE2A46" w:rsidP="00B46A29">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801C6D">
              <w:rPr>
                <w:rFonts w:ascii="Arial" w:hAnsi="Arial" w:cs="Arial"/>
                <w:sz w:val="18"/>
                <w:szCs w:val="18"/>
              </w:rPr>
              <w:t>3</w:t>
            </w:r>
          </w:p>
        </w:tc>
        <w:tc>
          <w:tcPr>
            <w:tcW w:w="1797" w:type="dxa"/>
          </w:tcPr>
          <w:p w14:paraId="726F704C" w14:textId="77777777" w:rsidR="00AE2A46" w:rsidRPr="00801C6D" w:rsidRDefault="00AE2A46" w:rsidP="00B46A29">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801C6D">
              <w:rPr>
                <w:rFonts w:ascii="Arial" w:hAnsi="Arial" w:cs="Arial"/>
                <w:sz w:val="18"/>
                <w:szCs w:val="18"/>
              </w:rPr>
              <w:t>5.55 ±0.01C</w:t>
            </w:r>
          </w:p>
        </w:tc>
        <w:tc>
          <w:tcPr>
            <w:tcW w:w="2016" w:type="dxa"/>
          </w:tcPr>
          <w:p w14:paraId="3833FB29" w14:textId="77777777" w:rsidR="00AE2A46" w:rsidRPr="00801C6D" w:rsidRDefault="00AE2A46" w:rsidP="00B46A29">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801C6D">
              <w:rPr>
                <w:rFonts w:ascii="Arial" w:hAnsi="Arial" w:cs="Arial"/>
                <w:sz w:val="18"/>
                <w:szCs w:val="18"/>
              </w:rPr>
              <w:t>White</w:t>
            </w:r>
          </w:p>
        </w:tc>
        <w:tc>
          <w:tcPr>
            <w:tcW w:w="2060" w:type="dxa"/>
          </w:tcPr>
          <w:p w14:paraId="3D372EEF" w14:textId="77777777" w:rsidR="00AE2A46" w:rsidRPr="00801C6D" w:rsidRDefault="00AE2A46" w:rsidP="00B46A29">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801C6D">
              <w:rPr>
                <w:rFonts w:ascii="Arial" w:hAnsi="Arial" w:cs="Arial"/>
                <w:sz w:val="18"/>
                <w:szCs w:val="18"/>
              </w:rPr>
              <w:t>No separation</w:t>
            </w:r>
          </w:p>
        </w:tc>
      </w:tr>
      <w:tr w:rsidR="00AE2A46" w:rsidRPr="00801C6D" w14:paraId="11948058" w14:textId="77777777" w:rsidTr="00A81B3D">
        <w:trPr>
          <w:trHeight w:val="288"/>
          <w:jc w:val="center"/>
        </w:trPr>
        <w:tc>
          <w:tcPr>
            <w:cnfStyle w:val="001000000000" w:firstRow="0" w:lastRow="0" w:firstColumn="1" w:lastColumn="0" w:oddVBand="0" w:evenVBand="0" w:oddHBand="0" w:evenHBand="0" w:firstRowFirstColumn="0" w:firstRowLastColumn="0" w:lastRowFirstColumn="0" w:lastRowLastColumn="0"/>
            <w:tcW w:w="1510" w:type="dxa"/>
            <w:vMerge/>
          </w:tcPr>
          <w:p w14:paraId="5295DFBC" w14:textId="77777777" w:rsidR="00AE2A46" w:rsidRPr="00801C6D" w:rsidRDefault="00AE2A46" w:rsidP="00B46A29">
            <w:pPr>
              <w:rPr>
                <w:rFonts w:ascii="Arial" w:hAnsi="Arial" w:cs="Arial"/>
                <w:sz w:val="18"/>
                <w:szCs w:val="18"/>
              </w:rPr>
            </w:pPr>
          </w:p>
        </w:tc>
        <w:tc>
          <w:tcPr>
            <w:tcW w:w="710" w:type="dxa"/>
          </w:tcPr>
          <w:p w14:paraId="5AB50384" w14:textId="77777777" w:rsidR="00AE2A46" w:rsidRPr="00801C6D" w:rsidRDefault="00AE2A46" w:rsidP="00B46A29">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801C6D">
              <w:rPr>
                <w:rFonts w:ascii="Arial" w:hAnsi="Arial" w:cs="Arial"/>
                <w:sz w:val="18"/>
                <w:szCs w:val="18"/>
              </w:rPr>
              <w:t>7</w:t>
            </w:r>
          </w:p>
        </w:tc>
        <w:tc>
          <w:tcPr>
            <w:tcW w:w="1797" w:type="dxa"/>
          </w:tcPr>
          <w:p w14:paraId="6D54BF15" w14:textId="77777777" w:rsidR="00AE2A46" w:rsidRPr="00801C6D" w:rsidRDefault="00AE2A46" w:rsidP="00B46A29">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801C6D">
              <w:rPr>
                <w:rFonts w:ascii="Arial" w:hAnsi="Arial" w:cs="Arial"/>
                <w:sz w:val="18"/>
                <w:szCs w:val="18"/>
              </w:rPr>
              <w:t>5.59 ±0.01B</w:t>
            </w:r>
          </w:p>
        </w:tc>
        <w:tc>
          <w:tcPr>
            <w:tcW w:w="2016" w:type="dxa"/>
          </w:tcPr>
          <w:p w14:paraId="67338A8D" w14:textId="77777777" w:rsidR="00AE2A46" w:rsidRPr="00801C6D" w:rsidRDefault="00AE2A46" w:rsidP="00B46A29">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801C6D">
              <w:rPr>
                <w:rFonts w:ascii="Arial" w:hAnsi="Arial" w:cs="Arial"/>
                <w:sz w:val="18"/>
                <w:szCs w:val="18"/>
              </w:rPr>
              <w:t>White</w:t>
            </w:r>
          </w:p>
        </w:tc>
        <w:tc>
          <w:tcPr>
            <w:tcW w:w="2060" w:type="dxa"/>
          </w:tcPr>
          <w:p w14:paraId="3F57423A" w14:textId="77777777" w:rsidR="00AE2A46" w:rsidRPr="00801C6D" w:rsidRDefault="00AE2A46" w:rsidP="00B46A29">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801C6D">
              <w:rPr>
                <w:rFonts w:ascii="Arial" w:hAnsi="Arial" w:cs="Arial"/>
                <w:sz w:val="18"/>
                <w:szCs w:val="18"/>
              </w:rPr>
              <w:t>No separation</w:t>
            </w:r>
          </w:p>
        </w:tc>
      </w:tr>
      <w:tr w:rsidR="00AE2A46" w:rsidRPr="00801C6D" w14:paraId="746C8993" w14:textId="77777777" w:rsidTr="00A81B3D">
        <w:trPr>
          <w:trHeight w:val="288"/>
          <w:jc w:val="center"/>
        </w:trPr>
        <w:tc>
          <w:tcPr>
            <w:cnfStyle w:val="001000000000" w:firstRow="0" w:lastRow="0" w:firstColumn="1" w:lastColumn="0" w:oddVBand="0" w:evenVBand="0" w:oddHBand="0" w:evenHBand="0" w:firstRowFirstColumn="0" w:firstRowLastColumn="0" w:lastRowFirstColumn="0" w:lastRowLastColumn="0"/>
            <w:tcW w:w="1510" w:type="dxa"/>
            <w:vMerge/>
          </w:tcPr>
          <w:p w14:paraId="090C5835" w14:textId="77777777" w:rsidR="00AE2A46" w:rsidRPr="00801C6D" w:rsidRDefault="00AE2A46" w:rsidP="00B46A29">
            <w:pPr>
              <w:rPr>
                <w:rFonts w:ascii="Arial" w:hAnsi="Arial" w:cs="Arial"/>
                <w:sz w:val="18"/>
                <w:szCs w:val="18"/>
              </w:rPr>
            </w:pPr>
          </w:p>
        </w:tc>
        <w:tc>
          <w:tcPr>
            <w:tcW w:w="710" w:type="dxa"/>
          </w:tcPr>
          <w:p w14:paraId="39A0B17C" w14:textId="77777777" w:rsidR="00AE2A46" w:rsidRPr="00801C6D" w:rsidRDefault="00AE2A46" w:rsidP="00B46A29">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801C6D">
              <w:rPr>
                <w:rFonts w:ascii="Arial" w:hAnsi="Arial" w:cs="Arial"/>
                <w:sz w:val="18"/>
                <w:szCs w:val="18"/>
              </w:rPr>
              <w:t>14</w:t>
            </w:r>
          </w:p>
        </w:tc>
        <w:tc>
          <w:tcPr>
            <w:tcW w:w="1797" w:type="dxa"/>
          </w:tcPr>
          <w:p w14:paraId="64C5BFC8" w14:textId="77777777" w:rsidR="00AE2A46" w:rsidRPr="00801C6D" w:rsidRDefault="00AE2A46" w:rsidP="00B46A29">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801C6D">
              <w:rPr>
                <w:rFonts w:ascii="Arial" w:hAnsi="Arial" w:cs="Arial"/>
                <w:sz w:val="18"/>
                <w:szCs w:val="18"/>
              </w:rPr>
              <w:t>5.58 ±0.11C</w:t>
            </w:r>
          </w:p>
        </w:tc>
        <w:tc>
          <w:tcPr>
            <w:tcW w:w="2016" w:type="dxa"/>
          </w:tcPr>
          <w:p w14:paraId="115B3E6A" w14:textId="77777777" w:rsidR="00AE2A46" w:rsidRPr="00801C6D" w:rsidRDefault="00AE2A46" w:rsidP="00B46A29">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801C6D">
              <w:rPr>
                <w:rFonts w:ascii="Arial" w:hAnsi="Arial" w:cs="Arial"/>
                <w:sz w:val="18"/>
                <w:szCs w:val="18"/>
              </w:rPr>
              <w:t>White</w:t>
            </w:r>
          </w:p>
        </w:tc>
        <w:tc>
          <w:tcPr>
            <w:tcW w:w="2060" w:type="dxa"/>
          </w:tcPr>
          <w:p w14:paraId="74762B6A" w14:textId="77777777" w:rsidR="00AE2A46" w:rsidRPr="00801C6D" w:rsidRDefault="00AE2A46" w:rsidP="00B46A29">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801C6D">
              <w:rPr>
                <w:rFonts w:ascii="Arial" w:hAnsi="Arial" w:cs="Arial"/>
                <w:sz w:val="18"/>
                <w:szCs w:val="18"/>
              </w:rPr>
              <w:t>No separation</w:t>
            </w:r>
          </w:p>
        </w:tc>
      </w:tr>
      <w:tr w:rsidR="00AE2A46" w:rsidRPr="00801C6D" w14:paraId="5FF2370A" w14:textId="77777777" w:rsidTr="00A81B3D">
        <w:trPr>
          <w:trHeight w:val="288"/>
          <w:jc w:val="center"/>
        </w:trPr>
        <w:tc>
          <w:tcPr>
            <w:cnfStyle w:val="001000000000" w:firstRow="0" w:lastRow="0" w:firstColumn="1" w:lastColumn="0" w:oddVBand="0" w:evenVBand="0" w:oddHBand="0" w:evenHBand="0" w:firstRowFirstColumn="0" w:firstRowLastColumn="0" w:lastRowFirstColumn="0" w:lastRowLastColumn="0"/>
            <w:tcW w:w="1510" w:type="dxa"/>
            <w:vMerge/>
          </w:tcPr>
          <w:p w14:paraId="02E6C737" w14:textId="77777777" w:rsidR="00AE2A46" w:rsidRPr="00801C6D" w:rsidRDefault="00AE2A46" w:rsidP="00B46A29">
            <w:pPr>
              <w:rPr>
                <w:rFonts w:ascii="Arial" w:hAnsi="Arial" w:cs="Arial"/>
                <w:sz w:val="18"/>
                <w:szCs w:val="18"/>
              </w:rPr>
            </w:pPr>
          </w:p>
        </w:tc>
        <w:tc>
          <w:tcPr>
            <w:tcW w:w="710" w:type="dxa"/>
          </w:tcPr>
          <w:p w14:paraId="6A75315D" w14:textId="77777777" w:rsidR="00AE2A46" w:rsidRPr="00801C6D" w:rsidRDefault="00AE2A46" w:rsidP="00B46A29">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801C6D">
              <w:rPr>
                <w:rFonts w:ascii="Arial" w:hAnsi="Arial" w:cs="Arial"/>
                <w:sz w:val="18"/>
                <w:szCs w:val="18"/>
              </w:rPr>
              <w:t>21</w:t>
            </w:r>
          </w:p>
        </w:tc>
        <w:tc>
          <w:tcPr>
            <w:tcW w:w="1797" w:type="dxa"/>
          </w:tcPr>
          <w:p w14:paraId="2CF3B952" w14:textId="77777777" w:rsidR="00AE2A46" w:rsidRPr="00801C6D" w:rsidRDefault="00AE2A46" w:rsidP="00B46A29">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801C6D">
              <w:rPr>
                <w:rFonts w:ascii="Arial" w:hAnsi="Arial" w:cs="Arial"/>
                <w:sz w:val="18"/>
                <w:szCs w:val="18"/>
              </w:rPr>
              <w:t>5.59 ±0.00C</w:t>
            </w:r>
          </w:p>
        </w:tc>
        <w:tc>
          <w:tcPr>
            <w:tcW w:w="2016" w:type="dxa"/>
          </w:tcPr>
          <w:p w14:paraId="1D1944ED" w14:textId="77777777" w:rsidR="00AE2A46" w:rsidRPr="00801C6D" w:rsidRDefault="00AE2A46" w:rsidP="00B46A29">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801C6D">
              <w:rPr>
                <w:rFonts w:ascii="Arial" w:hAnsi="Arial" w:cs="Arial"/>
                <w:sz w:val="18"/>
                <w:szCs w:val="18"/>
              </w:rPr>
              <w:t>White</w:t>
            </w:r>
          </w:p>
        </w:tc>
        <w:tc>
          <w:tcPr>
            <w:tcW w:w="2060" w:type="dxa"/>
          </w:tcPr>
          <w:p w14:paraId="6D75EC2C" w14:textId="77777777" w:rsidR="00AE2A46" w:rsidRPr="00801C6D" w:rsidRDefault="00AE2A46" w:rsidP="00B46A29">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801C6D">
              <w:rPr>
                <w:rFonts w:ascii="Arial" w:hAnsi="Arial" w:cs="Arial"/>
                <w:sz w:val="18"/>
                <w:szCs w:val="18"/>
              </w:rPr>
              <w:t>No separation</w:t>
            </w:r>
          </w:p>
        </w:tc>
      </w:tr>
      <w:tr w:rsidR="00AE2A46" w:rsidRPr="00801C6D" w14:paraId="7618CAA9" w14:textId="77777777" w:rsidTr="00A81B3D">
        <w:trPr>
          <w:trHeight w:val="288"/>
          <w:jc w:val="center"/>
        </w:trPr>
        <w:tc>
          <w:tcPr>
            <w:cnfStyle w:val="001000000000" w:firstRow="0" w:lastRow="0" w:firstColumn="1" w:lastColumn="0" w:oddVBand="0" w:evenVBand="0" w:oddHBand="0" w:evenHBand="0" w:firstRowFirstColumn="0" w:firstRowLastColumn="0" w:lastRowFirstColumn="0" w:lastRowLastColumn="0"/>
            <w:tcW w:w="1510" w:type="dxa"/>
            <w:vMerge/>
          </w:tcPr>
          <w:p w14:paraId="6A365991" w14:textId="77777777" w:rsidR="00AE2A46" w:rsidRPr="00801C6D" w:rsidRDefault="00AE2A46" w:rsidP="00B46A29">
            <w:pPr>
              <w:rPr>
                <w:rFonts w:ascii="Arial" w:hAnsi="Arial" w:cs="Arial"/>
                <w:sz w:val="18"/>
                <w:szCs w:val="18"/>
              </w:rPr>
            </w:pPr>
          </w:p>
        </w:tc>
        <w:tc>
          <w:tcPr>
            <w:tcW w:w="710" w:type="dxa"/>
          </w:tcPr>
          <w:p w14:paraId="4216EED6" w14:textId="77777777" w:rsidR="00AE2A46" w:rsidRPr="00801C6D" w:rsidRDefault="00AE2A46" w:rsidP="00B46A29">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801C6D">
              <w:rPr>
                <w:rFonts w:ascii="Arial" w:hAnsi="Arial" w:cs="Arial"/>
                <w:sz w:val="18"/>
                <w:szCs w:val="18"/>
              </w:rPr>
              <w:t>28</w:t>
            </w:r>
          </w:p>
        </w:tc>
        <w:tc>
          <w:tcPr>
            <w:tcW w:w="1797" w:type="dxa"/>
          </w:tcPr>
          <w:p w14:paraId="04D55572" w14:textId="77777777" w:rsidR="00AE2A46" w:rsidRPr="00801C6D" w:rsidRDefault="00AE2A46" w:rsidP="00B46A29">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801C6D">
              <w:rPr>
                <w:rFonts w:ascii="Arial" w:hAnsi="Arial" w:cs="Arial"/>
                <w:sz w:val="18"/>
                <w:szCs w:val="18"/>
              </w:rPr>
              <w:t>5.59 ±0.06C</w:t>
            </w:r>
          </w:p>
        </w:tc>
        <w:tc>
          <w:tcPr>
            <w:tcW w:w="2016" w:type="dxa"/>
          </w:tcPr>
          <w:p w14:paraId="073BB7C1" w14:textId="77777777" w:rsidR="00AE2A46" w:rsidRPr="00801C6D" w:rsidRDefault="00AE2A46" w:rsidP="00B46A29">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801C6D">
              <w:rPr>
                <w:rFonts w:ascii="Arial" w:hAnsi="Arial" w:cs="Arial"/>
                <w:sz w:val="18"/>
                <w:szCs w:val="18"/>
              </w:rPr>
              <w:t>White</w:t>
            </w:r>
          </w:p>
        </w:tc>
        <w:tc>
          <w:tcPr>
            <w:tcW w:w="2060" w:type="dxa"/>
          </w:tcPr>
          <w:p w14:paraId="19052994" w14:textId="77777777" w:rsidR="00AE2A46" w:rsidRPr="00801C6D" w:rsidRDefault="00AE2A46" w:rsidP="00B46A29">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801C6D">
              <w:rPr>
                <w:rFonts w:ascii="Arial" w:hAnsi="Arial" w:cs="Arial"/>
                <w:sz w:val="18"/>
                <w:szCs w:val="18"/>
              </w:rPr>
              <w:t>No separation</w:t>
            </w:r>
          </w:p>
        </w:tc>
      </w:tr>
      <w:tr w:rsidR="00AE2A46" w:rsidRPr="00801C6D" w14:paraId="1FEFE4C9" w14:textId="77777777" w:rsidTr="00A81B3D">
        <w:trPr>
          <w:trHeight w:val="288"/>
          <w:jc w:val="center"/>
        </w:trPr>
        <w:tc>
          <w:tcPr>
            <w:cnfStyle w:val="001000000000" w:firstRow="0" w:lastRow="0" w:firstColumn="1" w:lastColumn="0" w:oddVBand="0" w:evenVBand="0" w:oddHBand="0" w:evenHBand="0" w:firstRowFirstColumn="0" w:firstRowLastColumn="0" w:lastRowFirstColumn="0" w:lastRowLastColumn="0"/>
            <w:tcW w:w="1510" w:type="dxa"/>
            <w:vMerge w:val="restart"/>
            <w:vAlign w:val="center"/>
          </w:tcPr>
          <w:p w14:paraId="3023A291" w14:textId="77777777" w:rsidR="00AE2A46" w:rsidRPr="00801C6D" w:rsidRDefault="00AE2A46" w:rsidP="00B46A29">
            <w:pPr>
              <w:rPr>
                <w:rFonts w:ascii="Arial" w:hAnsi="Arial" w:cs="Arial"/>
                <w:sz w:val="18"/>
                <w:szCs w:val="18"/>
              </w:rPr>
            </w:pPr>
            <w:r w:rsidRPr="00801C6D">
              <w:rPr>
                <w:rFonts w:ascii="Arial" w:hAnsi="Arial" w:cs="Arial"/>
                <w:sz w:val="18"/>
                <w:szCs w:val="18"/>
              </w:rPr>
              <w:t>F2</w:t>
            </w:r>
          </w:p>
        </w:tc>
        <w:tc>
          <w:tcPr>
            <w:tcW w:w="710" w:type="dxa"/>
          </w:tcPr>
          <w:p w14:paraId="6220612D" w14:textId="77777777" w:rsidR="00AE2A46" w:rsidRPr="00801C6D" w:rsidRDefault="00AE2A46" w:rsidP="00B46A29">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801C6D">
              <w:rPr>
                <w:rFonts w:ascii="Arial" w:hAnsi="Arial" w:cs="Arial"/>
                <w:sz w:val="18"/>
                <w:szCs w:val="18"/>
              </w:rPr>
              <w:t>1</w:t>
            </w:r>
          </w:p>
        </w:tc>
        <w:tc>
          <w:tcPr>
            <w:tcW w:w="1797" w:type="dxa"/>
          </w:tcPr>
          <w:p w14:paraId="0F3CE6A6" w14:textId="77777777" w:rsidR="00AE2A46" w:rsidRPr="00801C6D" w:rsidRDefault="00AE2A46" w:rsidP="00B46A29">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801C6D">
              <w:rPr>
                <w:rFonts w:ascii="Arial" w:hAnsi="Arial" w:cs="Arial"/>
                <w:sz w:val="18"/>
                <w:szCs w:val="18"/>
              </w:rPr>
              <w:t>5.72 ±0.01A</w:t>
            </w:r>
          </w:p>
        </w:tc>
        <w:tc>
          <w:tcPr>
            <w:tcW w:w="2016" w:type="dxa"/>
          </w:tcPr>
          <w:p w14:paraId="2E6925FA" w14:textId="77777777" w:rsidR="00AE2A46" w:rsidRPr="00801C6D" w:rsidRDefault="00AE2A46" w:rsidP="00B46A29">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801C6D">
              <w:rPr>
                <w:rFonts w:ascii="Arial" w:hAnsi="Arial" w:cs="Arial"/>
                <w:sz w:val="18"/>
                <w:szCs w:val="18"/>
              </w:rPr>
              <w:t>Yellowish cream</w:t>
            </w:r>
          </w:p>
        </w:tc>
        <w:tc>
          <w:tcPr>
            <w:tcW w:w="2060" w:type="dxa"/>
          </w:tcPr>
          <w:p w14:paraId="12E2C017" w14:textId="77777777" w:rsidR="00AE2A46" w:rsidRPr="00801C6D" w:rsidRDefault="00AE2A46" w:rsidP="00B46A29">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801C6D">
              <w:rPr>
                <w:rFonts w:ascii="Arial" w:hAnsi="Arial" w:cs="Arial"/>
                <w:sz w:val="18"/>
                <w:szCs w:val="18"/>
              </w:rPr>
              <w:t>No separation</w:t>
            </w:r>
          </w:p>
        </w:tc>
      </w:tr>
      <w:tr w:rsidR="00AE2A46" w:rsidRPr="00801C6D" w14:paraId="1D8407E3" w14:textId="77777777" w:rsidTr="00A81B3D">
        <w:trPr>
          <w:trHeight w:val="288"/>
          <w:jc w:val="center"/>
        </w:trPr>
        <w:tc>
          <w:tcPr>
            <w:cnfStyle w:val="001000000000" w:firstRow="0" w:lastRow="0" w:firstColumn="1" w:lastColumn="0" w:oddVBand="0" w:evenVBand="0" w:oddHBand="0" w:evenHBand="0" w:firstRowFirstColumn="0" w:firstRowLastColumn="0" w:lastRowFirstColumn="0" w:lastRowLastColumn="0"/>
            <w:tcW w:w="1510" w:type="dxa"/>
            <w:vMerge/>
          </w:tcPr>
          <w:p w14:paraId="5128AFDC" w14:textId="77777777" w:rsidR="00AE2A46" w:rsidRPr="00801C6D" w:rsidRDefault="00AE2A46" w:rsidP="00B46A29">
            <w:pPr>
              <w:rPr>
                <w:rFonts w:ascii="Arial" w:hAnsi="Arial" w:cs="Arial"/>
                <w:sz w:val="18"/>
                <w:szCs w:val="18"/>
              </w:rPr>
            </w:pPr>
          </w:p>
        </w:tc>
        <w:tc>
          <w:tcPr>
            <w:tcW w:w="710" w:type="dxa"/>
          </w:tcPr>
          <w:p w14:paraId="20EF77A5" w14:textId="77777777" w:rsidR="00AE2A46" w:rsidRPr="00801C6D" w:rsidRDefault="00AE2A46" w:rsidP="00B46A29">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801C6D">
              <w:rPr>
                <w:rFonts w:ascii="Arial" w:hAnsi="Arial" w:cs="Arial"/>
                <w:sz w:val="18"/>
                <w:szCs w:val="18"/>
              </w:rPr>
              <w:t>3</w:t>
            </w:r>
          </w:p>
        </w:tc>
        <w:tc>
          <w:tcPr>
            <w:tcW w:w="1797" w:type="dxa"/>
          </w:tcPr>
          <w:p w14:paraId="1DCDBDED" w14:textId="77777777" w:rsidR="00AE2A46" w:rsidRPr="00801C6D" w:rsidRDefault="00AE2A46" w:rsidP="00B46A29">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801C6D">
              <w:rPr>
                <w:rFonts w:ascii="Arial" w:hAnsi="Arial" w:cs="Arial"/>
                <w:sz w:val="18"/>
                <w:szCs w:val="18"/>
              </w:rPr>
              <w:t>5.73 ±0.02A</w:t>
            </w:r>
          </w:p>
        </w:tc>
        <w:tc>
          <w:tcPr>
            <w:tcW w:w="2016" w:type="dxa"/>
          </w:tcPr>
          <w:p w14:paraId="78FBDD6C" w14:textId="77777777" w:rsidR="00AE2A46" w:rsidRPr="00801C6D" w:rsidRDefault="00AE2A46" w:rsidP="00B46A29">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801C6D">
              <w:rPr>
                <w:rFonts w:ascii="Arial" w:hAnsi="Arial" w:cs="Arial"/>
                <w:sz w:val="18"/>
                <w:szCs w:val="18"/>
              </w:rPr>
              <w:t>Yellowish cream</w:t>
            </w:r>
          </w:p>
        </w:tc>
        <w:tc>
          <w:tcPr>
            <w:tcW w:w="2060" w:type="dxa"/>
          </w:tcPr>
          <w:p w14:paraId="716A7E81" w14:textId="77777777" w:rsidR="00AE2A46" w:rsidRPr="00801C6D" w:rsidRDefault="00AE2A46" w:rsidP="00B46A29">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801C6D">
              <w:rPr>
                <w:rFonts w:ascii="Arial" w:hAnsi="Arial" w:cs="Arial"/>
                <w:sz w:val="18"/>
                <w:szCs w:val="18"/>
              </w:rPr>
              <w:t>No separation</w:t>
            </w:r>
          </w:p>
        </w:tc>
      </w:tr>
      <w:tr w:rsidR="00AE2A46" w:rsidRPr="00801C6D" w14:paraId="39CB38AD" w14:textId="77777777" w:rsidTr="00A81B3D">
        <w:trPr>
          <w:trHeight w:val="288"/>
          <w:jc w:val="center"/>
        </w:trPr>
        <w:tc>
          <w:tcPr>
            <w:cnfStyle w:val="001000000000" w:firstRow="0" w:lastRow="0" w:firstColumn="1" w:lastColumn="0" w:oddVBand="0" w:evenVBand="0" w:oddHBand="0" w:evenHBand="0" w:firstRowFirstColumn="0" w:firstRowLastColumn="0" w:lastRowFirstColumn="0" w:lastRowLastColumn="0"/>
            <w:tcW w:w="1510" w:type="dxa"/>
            <w:vMerge/>
          </w:tcPr>
          <w:p w14:paraId="6D2F4E07" w14:textId="77777777" w:rsidR="00AE2A46" w:rsidRPr="00801C6D" w:rsidRDefault="00AE2A46" w:rsidP="00B46A29">
            <w:pPr>
              <w:rPr>
                <w:rFonts w:ascii="Arial" w:hAnsi="Arial" w:cs="Arial"/>
                <w:sz w:val="18"/>
                <w:szCs w:val="18"/>
              </w:rPr>
            </w:pPr>
          </w:p>
        </w:tc>
        <w:tc>
          <w:tcPr>
            <w:tcW w:w="710" w:type="dxa"/>
          </w:tcPr>
          <w:p w14:paraId="4AD15615" w14:textId="77777777" w:rsidR="00AE2A46" w:rsidRPr="00801C6D" w:rsidRDefault="00AE2A46" w:rsidP="00B46A29">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801C6D">
              <w:rPr>
                <w:rFonts w:ascii="Arial" w:hAnsi="Arial" w:cs="Arial"/>
                <w:sz w:val="18"/>
                <w:szCs w:val="18"/>
              </w:rPr>
              <w:t>7</w:t>
            </w:r>
          </w:p>
        </w:tc>
        <w:tc>
          <w:tcPr>
            <w:tcW w:w="1797" w:type="dxa"/>
          </w:tcPr>
          <w:p w14:paraId="5BE04110" w14:textId="77777777" w:rsidR="00AE2A46" w:rsidRPr="00801C6D" w:rsidRDefault="00AE2A46" w:rsidP="00B46A29">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801C6D">
              <w:rPr>
                <w:rFonts w:ascii="Arial" w:hAnsi="Arial" w:cs="Arial"/>
                <w:sz w:val="18"/>
                <w:szCs w:val="18"/>
              </w:rPr>
              <w:t>5.75 ±0.04A</w:t>
            </w:r>
          </w:p>
        </w:tc>
        <w:tc>
          <w:tcPr>
            <w:tcW w:w="2016" w:type="dxa"/>
          </w:tcPr>
          <w:p w14:paraId="452CF00F" w14:textId="77777777" w:rsidR="00AE2A46" w:rsidRPr="00801C6D" w:rsidRDefault="00AE2A46" w:rsidP="00B46A29">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801C6D">
              <w:rPr>
                <w:rFonts w:ascii="Arial" w:hAnsi="Arial" w:cs="Arial"/>
                <w:sz w:val="18"/>
                <w:szCs w:val="18"/>
              </w:rPr>
              <w:t>Yellowish cream</w:t>
            </w:r>
          </w:p>
        </w:tc>
        <w:tc>
          <w:tcPr>
            <w:tcW w:w="2060" w:type="dxa"/>
          </w:tcPr>
          <w:p w14:paraId="680242D8" w14:textId="77777777" w:rsidR="00AE2A46" w:rsidRPr="00801C6D" w:rsidRDefault="00AE2A46" w:rsidP="00B46A29">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801C6D">
              <w:rPr>
                <w:rFonts w:ascii="Arial" w:hAnsi="Arial" w:cs="Arial"/>
                <w:sz w:val="18"/>
                <w:szCs w:val="18"/>
              </w:rPr>
              <w:t>No separation</w:t>
            </w:r>
          </w:p>
        </w:tc>
      </w:tr>
      <w:tr w:rsidR="00AE2A46" w:rsidRPr="00801C6D" w14:paraId="4CC338DA" w14:textId="77777777" w:rsidTr="00A81B3D">
        <w:trPr>
          <w:trHeight w:val="288"/>
          <w:jc w:val="center"/>
        </w:trPr>
        <w:tc>
          <w:tcPr>
            <w:cnfStyle w:val="001000000000" w:firstRow="0" w:lastRow="0" w:firstColumn="1" w:lastColumn="0" w:oddVBand="0" w:evenVBand="0" w:oddHBand="0" w:evenHBand="0" w:firstRowFirstColumn="0" w:firstRowLastColumn="0" w:lastRowFirstColumn="0" w:lastRowLastColumn="0"/>
            <w:tcW w:w="1510" w:type="dxa"/>
            <w:vMerge/>
          </w:tcPr>
          <w:p w14:paraId="444A2761" w14:textId="77777777" w:rsidR="00AE2A46" w:rsidRPr="00801C6D" w:rsidRDefault="00AE2A46" w:rsidP="00B46A29">
            <w:pPr>
              <w:rPr>
                <w:rFonts w:ascii="Arial" w:hAnsi="Arial" w:cs="Arial"/>
                <w:sz w:val="18"/>
                <w:szCs w:val="18"/>
              </w:rPr>
            </w:pPr>
          </w:p>
        </w:tc>
        <w:tc>
          <w:tcPr>
            <w:tcW w:w="710" w:type="dxa"/>
          </w:tcPr>
          <w:p w14:paraId="6BD5889B" w14:textId="77777777" w:rsidR="00AE2A46" w:rsidRPr="00801C6D" w:rsidRDefault="00AE2A46" w:rsidP="00B46A29">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801C6D">
              <w:rPr>
                <w:rFonts w:ascii="Arial" w:hAnsi="Arial" w:cs="Arial"/>
                <w:sz w:val="18"/>
                <w:szCs w:val="18"/>
              </w:rPr>
              <w:t>14</w:t>
            </w:r>
          </w:p>
        </w:tc>
        <w:tc>
          <w:tcPr>
            <w:tcW w:w="1797" w:type="dxa"/>
          </w:tcPr>
          <w:p w14:paraId="79E69060" w14:textId="77777777" w:rsidR="00AE2A46" w:rsidRPr="00801C6D" w:rsidRDefault="00AE2A46" w:rsidP="00B46A29">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801C6D">
              <w:rPr>
                <w:rFonts w:ascii="Arial" w:hAnsi="Arial" w:cs="Arial"/>
                <w:sz w:val="18"/>
                <w:szCs w:val="18"/>
              </w:rPr>
              <w:t>5.74 ±0.01A</w:t>
            </w:r>
          </w:p>
        </w:tc>
        <w:tc>
          <w:tcPr>
            <w:tcW w:w="2016" w:type="dxa"/>
          </w:tcPr>
          <w:p w14:paraId="1D3DACA3" w14:textId="77777777" w:rsidR="00AE2A46" w:rsidRPr="00801C6D" w:rsidRDefault="00AE2A46" w:rsidP="00B46A29">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801C6D">
              <w:rPr>
                <w:rFonts w:ascii="Arial" w:hAnsi="Arial" w:cs="Arial"/>
                <w:sz w:val="18"/>
                <w:szCs w:val="18"/>
              </w:rPr>
              <w:t>Yellowish cream</w:t>
            </w:r>
          </w:p>
        </w:tc>
        <w:tc>
          <w:tcPr>
            <w:tcW w:w="2060" w:type="dxa"/>
          </w:tcPr>
          <w:p w14:paraId="6214A322" w14:textId="77777777" w:rsidR="00AE2A46" w:rsidRPr="00801C6D" w:rsidRDefault="00AE2A46" w:rsidP="00B46A29">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801C6D">
              <w:rPr>
                <w:rFonts w:ascii="Arial" w:hAnsi="Arial" w:cs="Arial"/>
                <w:sz w:val="18"/>
                <w:szCs w:val="18"/>
              </w:rPr>
              <w:t>No separation</w:t>
            </w:r>
          </w:p>
        </w:tc>
      </w:tr>
      <w:tr w:rsidR="00AE2A46" w:rsidRPr="00801C6D" w14:paraId="31585EB8" w14:textId="77777777" w:rsidTr="00A81B3D">
        <w:trPr>
          <w:trHeight w:val="288"/>
          <w:jc w:val="center"/>
        </w:trPr>
        <w:tc>
          <w:tcPr>
            <w:cnfStyle w:val="001000000000" w:firstRow="0" w:lastRow="0" w:firstColumn="1" w:lastColumn="0" w:oddVBand="0" w:evenVBand="0" w:oddHBand="0" w:evenHBand="0" w:firstRowFirstColumn="0" w:firstRowLastColumn="0" w:lastRowFirstColumn="0" w:lastRowLastColumn="0"/>
            <w:tcW w:w="1510" w:type="dxa"/>
            <w:vMerge/>
          </w:tcPr>
          <w:p w14:paraId="7868D371" w14:textId="77777777" w:rsidR="00AE2A46" w:rsidRPr="00801C6D" w:rsidRDefault="00AE2A46" w:rsidP="00B46A29">
            <w:pPr>
              <w:rPr>
                <w:rFonts w:ascii="Arial" w:hAnsi="Arial" w:cs="Arial"/>
                <w:sz w:val="18"/>
                <w:szCs w:val="18"/>
              </w:rPr>
            </w:pPr>
          </w:p>
        </w:tc>
        <w:tc>
          <w:tcPr>
            <w:tcW w:w="710" w:type="dxa"/>
          </w:tcPr>
          <w:p w14:paraId="6884847E" w14:textId="77777777" w:rsidR="00AE2A46" w:rsidRPr="00801C6D" w:rsidRDefault="00AE2A46" w:rsidP="00B46A29">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801C6D">
              <w:rPr>
                <w:rFonts w:ascii="Arial" w:hAnsi="Arial" w:cs="Arial"/>
                <w:sz w:val="18"/>
                <w:szCs w:val="18"/>
              </w:rPr>
              <w:t>21</w:t>
            </w:r>
          </w:p>
        </w:tc>
        <w:tc>
          <w:tcPr>
            <w:tcW w:w="1797" w:type="dxa"/>
          </w:tcPr>
          <w:p w14:paraId="3EDBCC16" w14:textId="77777777" w:rsidR="00AE2A46" w:rsidRPr="00801C6D" w:rsidRDefault="00AE2A46" w:rsidP="00B46A29">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801C6D">
              <w:rPr>
                <w:rFonts w:ascii="Arial" w:hAnsi="Arial" w:cs="Arial"/>
                <w:sz w:val="18"/>
                <w:szCs w:val="18"/>
              </w:rPr>
              <w:t>5.74 ±0.02A</w:t>
            </w:r>
          </w:p>
        </w:tc>
        <w:tc>
          <w:tcPr>
            <w:tcW w:w="2016" w:type="dxa"/>
          </w:tcPr>
          <w:p w14:paraId="11313A91" w14:textId="77777777" w:rsidR="00AE2A46" w:rsidRPr="00801C6D" w:rsidRDefault="00AE2A46" w:rsidP="00B46A29">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801C6D">
              <w:rPr>
                <w:rFonts w:ascii="Arial" w:hAnsi="Arial" w:cs="Arial"/>
                <w:sz w:val="18"/>
                <w:szCs w:val="18"/>
              </w:rPr>
              <w:t>Yellowish cream</w:t>
            </w:r>
          </w:p>
        </w:tc>
        <w:tc>
          <w:tcPr>
            <w:tcW w:w="2060" w:type="dxa"/>
          </w:tcPr>
          <w:p w14:paraId="28A08699" w14:textId="77777777" w:rsidR="00AE2A46" w:rsidRPr="00801C6D" w:rsidRDefault="00AE2A46" w:rsidP="00B46A29">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801C6D">
              <w:rPr>
                <w:rFonts w:ascii="Arial" w:hAnsi="Arial" w:cs="Arial"/>
                <w:sz w:val="18"/>
                <w:szCs w:val="18"/>
              </w:rPr>
              <w:t>No separation</w:t>
            </w:r>
          </w:p>
        </w:tc>
      </w:tr>
      <w:tr w:rsidR="00AE2A46" w:rsidRPr="00801C6D" w14:paraId="406AD0FE" w14:textId="77777777" w:rsidTr="00A81B3D">
        <w:trPr>
          <w:trHeight w:val="288"/>
          <w:jc w:val="center"/>
        </w:trPr>
        <w:tc>
          <w:tcPr>
            <w:cnfStyle w:val="001000000000" w:firstRow="0" w:lastRow="0" w:firstColumn="1" w:lastColumn="0" w:oddVBand="0" w:evenVBand="0" w:oddHBand="0" w:evenHBand="0" w:firstRowFirstColumn="0" w:firstRowLastColumn="0" w:lastRowFirstColumn="0" w:lastRowLastColumn="0"/>
            <w:tcW w:w="1510" w:type="dxa"/>
            <w:vMerge/>
          </w:tcPr>
          <w:p w14:paraId="26368918" w14:textId="77777777" w:rsidR="00AE2A46" w:rsidRPr="00801C6D" w:rsidRDefault="00AE2A46" w:rsidP="00B46A29">
            <w:pPr>
              <w:rPr>
                <w:rFonts w:ascii="Arial" w:hAnsi="Arial" w:cs="Arial"/>
                <w:sz w:val="18"/>
                <w:szCs w:val="18"/>
              </w:rPr>
            </w:pPr>
          </w:p>
        </w:tc>
        <w:tc>
          <w:tcPr>
            <w:tcW w:w="710" w:type="dxa"/>
          </w:tcPr>
          <w:p w14:paraId="153625CD" w14:textId="77777777" w:rsidR="00AE2A46" w:rsidRPr="00801C6D" w:rsidRDefault="00AE2A46" w:rsidP="00B46A29">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801C6D">
              <w:rPr>
                <w:rFonts w:ascii="Arial" w:hAnsi="Arial" w:cs="Arial"/>
                <w:sz w:val="18"/>
                <w:szCs w:val="18"/>
              </w:rPr>
              <w:t>28</w:t>
            </w:r>
          </w:p>
        </w:tc>
        <w:tc>
          <w:tcPr>
            <w:tcW w:w="1797" w:type="dxa"/>
          </w:tcPr>
          <w:p w14:paraId="5954F945" w14:textId="77777777" w:rsidR="00AE2A46" w:rsidRPr="00801C6D" w:rsidRDefault="00AE2A46" w:rsidP="00B46A29">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801C6D">
              <w:rPr>
                <w:rFonts w:ascii="Arial" w:hAnsi="Arial" w:cs="Arial"/>
                <w:sz w:val="18"/>
                <w:szCs w:val="18"/>
              </w:rPr>
              <w:t>5.73 ±0.00A</w:t>
            </w:r>
          </w:p>
        </w:tc>
        <w:tc>
          <w:tcPr>
            <w:tcW w:w="2016" w:type="dxa"/>
          </w:tcPr>
          <w:p w14:paraId="2BEBB711" w14:textId="77777777" w:rsidR="00AE2A46" w:rsidRPr="00801C6D" w:rsidRDefault="00AE2A46" w:rsidP="00B46A29">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801C6D">
              <w:rPr>
                <w:rFonts w:ascii="Arial" w:hAnsi="Arial" w:cs="Arial"/>
                <w:sz w:val="18"/>
                <w:szCs w:val="18"/>
              </w:rPr>
              <w:t>Yellowish cream</w:t>
            </w:r>
          </w:p>
        </w:tc>
        <w:tc>
          <w:tcPr>
            <w:tcW w:w="2060" w:type="dxa"/>
          </w:tcPr>
          <w:p w14:paraId="0CDAC957" w14:textId="77777777" w:rsidR="00AE2A46" w:rsidRPr="00801C6D" w:rsidRDefault="00AE2A46" w:rsidP="00B46A29">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801C6D">
              <w:rPr>
                <w:rFonts w:ascii="Arial" w:hAnsi="Arial" w:cs="Arial"/>
                <w:sz w:val="18"/>
                <w:szCs w:val="18"/>
              </w:rPr>
              <w:t>No separation</w:t>
            </w:r>
          </w:p>
        </w:tc>
      </w:tr>
      <w:tr w:rsidR="00AE2A46" w:rsidRPr="00801C6D" w14:paraId="71FB6B08" w14:textId="77777777" w:rsidTr="00A81B3D">
        <w:trPr>
          <w:trHeight w:val="288"/>
          <w:jc w:val="center"/>
        </w:trPr>
        <w:tc>
          <w:tcPr>
            <w:cnfStyle w:val="001000000000" w:firstRow="0" w:lastRow="0" w:firstColumn="1" w:lastColumn="0" w:oddVBand="0" w:evenVBand="0" w:oddHBand="0" w:evenHBand="0" w:firstRowFirstColumn="0" w:firstRowLastColumn="0" w:lastRowFirstColumn="0" w:lastRowLastColumn="0"/>
            <w:tcW w:w="1510" w:type="dxa"/>
            <w:vMerge w:val="restart"/>
            <w:vAlign w:val="center"/>
          </w:tcPr>
          <w:p w14:paraId="5CE07790" w14:textId="77777777" w:rsidR="00AE2A46" w:rsidRPr="00801C6D" w:rsidRDefault="00AE2A46" w:rsidP="00B46A29">
            <w:pPr>
              <w:rPr>
                <w:rFonts w:ascii="Arial" w:hAnsi="Arial" w:cs="Arial"/>
                <w:sz w:val="18"/>
                <w:szCs w:val="18"/>
              </w:rPr>
            </w:pPr>
            <w:r w:rsidRPr="00801C6D">
              <w:rPr>
                <w:rFonts w:ascii="Arial" w:hAnsi="Arial" w:cs="Arial"/>
                <w:sz w:val="18"/>
                <w:szCs w:val="18"/>
              </w:rPr>
              <w:t>F3</w:t>
            </w:r>
          </w:p>
        </w:tc>
        <w:tc>
          <w:tcPr>
            <w:tcW w:w="710" w:type="dxa"/>
          </w:tcPr>
          <w:p w14:paraId="2A57C09B" w14:textId="77777777" w:rsidR="00AE2A46" w:rsidRPr="00801C6D" w:rsidRDefault="00AE2A46" w:rsidP="00B46A29">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801C6D">
              <w:rPr>
                <w:rFonts w:ascii="Arial" w:hAnsi="Arial" w:cs="Arial"/>
                <w:sz w:val="18"/>
                <w:szCs w:val="18"/>
              </w:rPr>
              <w:t>1</w:t>
            </w:r>
          </w:p>
        </w:tc>
        <w:tc>
          <w:tcPr>
            <w:tcW w:w="1797" w:type="dxa"/>
          </w:tcPr>
          <w:p w14:paraId="0384C65D" w14:textId="77777777" w:rsidR="00AE2A46" w:rsidRPr="00801C6D" w:rsidRDefault="00AE2A46" w:rsidP="00B46A29">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801C6D">
              <w:rPr>
                <w:rFonts w:ascii="Arial" w:hAnsi="Arial" w:cs="Arial"/>
                <w:sz w:val="18"/>
                <w:szCs w:val="18"/>
              </w:rPr>
              <w:t>5.63 ±0.02B</w:t>
            </w:r>
          </w:p>
        </w:tc>
        <w:tc>
          <w:tcPr>
            <w:tcW w:w="2016" w:type="dxa"/>
          </w:tcPr>
          <w:p w14:paraId="17BA9F46" w14:textId="77777777" w:rsidR="00AE2A46" w:rsidRPr="00801C6D" w:rsidRDefault="00AE2A46" w:rsidP="00B46A29">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801C6D">
              <w:rPr>
                <w:rFonts w:ascii="Arial" w:hAnsi="Arial" w:cs="Arial"/>
                <w:sz w:val="18"/>
                <w:szCs w:val="18"/>
              </w:rPr>
              <w:t>Yellowish cream</w:t>
            </w:r>
          </w:p>
        </w:tc>
        <w:tc>
          <w:tcPr>
            <w:tcW w:w="2060" w:type="dxa"/>
          </w:tcPr>
          <w:p w14:paraId="6D7D10D3" w14:textId="77777777" w:rsidR="00AE2A46" w:rsidRPr="00801C6D" w:rsidRDefault="00AE2A46" w:rsidP="00B46A29">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801C6D">
              <w:rPr>
                <w:rFonts w:ascii="Arial" w:hAnsi="Arial" w:cs="Arial"/>
                <w:sz w:val="18"/>
                <w:szCs w:val="18"/>
              </w:rPr>
              <w:t>No separation</w:t>
            </w:r>
          </w:p>
        </w:tc>
      </w:tr>
      <w:tr w:rsidR="00AE2A46" w:rsidRPr="00801C6D" w14:paraId="11480EC7" w14:textId="77777777" w:rsidTr="00A81B3D">
        <w:trPr>
          <w:trHeight w:val="288"/>
          <w:jc w:val="center"/>
        </w:trPr>
        <w:tc>
          <w:tcPr>
            <w:cnfStyle w:val="001000000000" w:firstRow="0" w:lastRow="0" w:firstColumn="1" w:lastColumn="0" w:oddVBand="0" w:evenVBand="0" w:oddHBand="0" w:evenHBand="0" w:firstRowFirstColumn="0" w:firstRowLastColumn="0" w:lastRowFirstColumn="0" w:lastRowLastColumn="0"/>
            <w:tcW w:w="1510" w:type="dxa"/>
            <w:vMerge/>
          </w:tcPr>
          <w:p w14:paraId="5545FFD3" w14:textId="77777777" w:rsidR="00AE2A46" w:rsidRPr="00801C6D" w:rsidRDefault="00AE2A46" w:rsidP="00B46A29">
            <w:pPr>
              <w:rPr>
                <w:rFonts w:ascii="Arial" w:hAnsi="Arial" w:cs="Arial"/>
                <w:sz w:val="18"/>
                <w:szCs w:val="18"/>
              </w:rPr>
            </w:pPr>
          </w:p>
        </w:tc>
        <w:tc>
          <w:tcPr>
            <w:tcW w:w="710" w:type="dxa"/>
          </w:tcPr>
          <w:p w14:paraId="79742D79" w14:textId="77777777" w:rsidR="00AE2A46" w:rsidRPr="00801C6D" w:rsidRDefault="00AE2A46" w:rsidP="00B46A29">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801C6D">
              <w:rPr>
                <w:rFonts w:ascii="Arial" w:hAnsi="Arial" w:cs="Arial"/>
                <w:sz w:val="18"/>
                <w:szCs w:val="18"/>
              </w:rPr>
              <w:t>3</w:t>
            </w:r>
          </w:p>
        </w:tc>
        <w:tc>
          <w:tcPr>
            <w:tcW w:w="1797" w:type="dxa"/>
          </w:tcPr>
          <w:p w14:paraId="79016367" w14:textId="77777777" w:rsidR="00AE2A46" w:rsidRPr="00801C6D" w:rsidRDefault="00AE2A46" w:rsidP="00B46A29">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801C6D">
              <w:rPr>
                <w:rFonts w:ascii="Arial" w:hAnsi="Arial" w:cs="Arial"/>
                <w:sz w:val="18"/>
                <w:szCs w:val="18"/>
              </w:rPr>
              <w:t>5.64 ±0.01B</w:t>
            </w:r>
          </w:p>
        </w:tc>
        <w:tc>
          <w:tcPr>
            <w:tcW w:w="2016" w:type="dxa"/>
          </w:tcPr>
          <w:p w14:paraId="454F6EB6" w14:textId="77777777" w:rsidR="00AE2A46" w:rsidRPr="00801C6D" w:rsidRDefault="00AE2A46" w:rsidP="00B46A29">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801C6D">
              <w:rPr>
                <w:rFonts w:ascii="Arial" w:hAnsi="Arial" w:cs="Arial"/>
                <w:sz w:val="18"/>
                <w:szCs w:val="18"/>
              </w:rPr>
              <w:t>Yellowish cream</w:t>
            </w:r>
          </w:p>
        </w:tc>
        <w:tc>
          <w:tcPr>
            <w:tcW w:w="2060" w:type="dxa"/>
          </w:tcPr>
          <w:p w14:paraId="1357258B" w14:textId="77777777" w:rsidR="00AE2A46" w:rsidRPr="00801C6D" w:rsidRDefault="00AE2A46" w:rsidP="00B46A29">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801C6D">
              <w:rPr>
                <w:rFonts w:ascii="Arial" w:hAnsi="Arial" w:cs="Arial"/>
                <w:sz w:val="18"/>
                <w:szCs w:val="18"/>
              </w:rPr>
              <w:t>No separation</w:t>
            </w:r>
          </w:p>
        </w:tc>
      </w:tr>
      <w:tr w:rsidR="00AE2A46" w:rsidRPr="00801C6D" w14:paraId="078A31D6" w14:textId="77777777" w:rsidTr="00A81B3D">
        <w:trPr>
          <w:trHeight w:val="288"/>
          <w:jc w:val="center"/>
        </w:trPr>
        <w:tc>
          <w:tcPr>
            <w:cnfStyle w:val="001000000000" w:firstRow="0" w:lastRow="0" w:firstColumn="1" w:lastColumn="0" w:oddVBand="0" w:evenVBand="0" w:oddHBand="0" w:evenHBand="0" w:firstRowFirstColumn="0" w:firstRowLastColumn="0" w:lastRowFirstColumn="0" w:lastRowLastColumn="0"/>
            <w:tcW w:w="1510" w:type="dxa"/>
            <w:vMerge/>
          </w:tcPr>
          <w:p w14:paraId="146BB47F" w14:textId="77777777" w:rsidR="00AE2A46" w:rsidRPr="00801C6D" w:rsidRDefault="00AE2A46" w:rsidP="00B46A29">
            <w:pPr>
              <w:rPr>
                <w:rFonts w:ascii="Arial" w:hAnsi="Arial" w:cs="Arial"/>
                <w:sz w:val="18"/>
                <w:szCs w:val="18"/>
              </w:rPr>
            </w:pPr>
          </w:p>
        </w:tc>
        <w:tc>
          <w:tcPr>
            <w:tcW w:w="710" w:type="dxa"/>
          </w:tcPr>
          <w:p w14:paraId="02F83B91" w14:textId="77777777" w:rsidR="00AE2A46" w:rsidRPr="00801C6D" w:rsidRDefault="00AE2A46" w:rsidP="00B46A29">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801C6D">
              <w:rPr>
                <w:rFonts w:ascii="Arial" w:hAnsi="Arial" w:cs="Arial"/>
                <w:sz w:val="18"/>
                <w:szCs w:val="18"/>
              </w:rPr>
              <w:t>7</w:t>
            </w:r>
          </w:p>
        </w:tc>
        <w:tc>
          <w:tcPr>
            <w:tcW w:w="1797" w:type="dxa"/>
          </w:tcPr>
          <w:p w14:paraId="0811CB79" w14:textId="77777777" w:rsidR="00AE2A46" w:rsidRPr="00801C6D" w:rsidRDefault="00AE2A46" w:rsidP="00B46A29">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801C6D">
              <w:rPr>
                <w:rFonts w:ascii="Arial" w:hAnsi="Arial" w:cs="Arial"/>
                <w:sz w:val="18"/>
                <w:szCs w:val="18"/>
              </w:rPr>
              <w:t>5.63 ±0.02B</w:t>
            </w:r>
          </w:p>
        </w:tc>
        <w:tc>
          <w:tcPr>
            <w:tcW w:w="2016" w:type="dxa"/>
          </w:tcPr>
          <w:p w14:paraId="2DB7915D" w14:textId="77777777" w:rsidR="00AE2A46" w:rsidRPr="00801C6D" w:rsidRDefault="00AE2A46" w:rsidP="00B46A29">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801C6D">
              <w:rPr>
                <w:rFonts w:ascii="Arial" w:hAnsi="Arial" w:cs="Arial"/>
                <w:sz w:val="18"/>
                <w:szCs w:val="18"/>
              </w:rPr>
              <w:t>Yellowish cream</w:t>
            </w:r>
          </w:p>
        </w:tc>
        <w:tc>
          <w:tcPr>
            <w:tcW w:w="2060" w:type="dxa"/>
          </w:tcPr>
          <w:p w14:paraId="7650744A" w14:textId="77777777" w:rsidR="00AE2A46" w:rsidRPr="00801C6D" w:rsidRDefault="00AE2A46" w:rsidP="00B46A29">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801C6D">
              <w:rPr>
                <w:rFonts w:ascii="Arial" w:hAnsi="Arial" w:cs="Arial"/>
                <w:sz w:val="18"/>
                <w:szCs w:val="18"/>
              </w:rPr>
              <w:t>No separation</w:t>
            </w:r>
          </w:p>
        </w:tc>
      </w:tr>
      <w:tr w:rsidR="00AE2A46" w:rsidRPr="00801C6D" w14:paraId="36731BD9" w14:textId="77777777" w:rsidTr="00A81B3D">
        <w:trPr>
          <w:trHeight w:val="288"/>
          <w:jc w:val="center"/>
        </w:trPr>
        <w:tc>
          <w:tcPr>
            <w:cnfStyle w:val="001000000000" w:firstRow="0" w:lastRow="0" w:firstColumn="1" w:lastColumn="0" w:oddVBand="0" w:evenVBand="0" w:oddHBand="0" w:evenHBand="0" w:firstRowFirstColumn="0" w:firstRowLastColumn="0" w:lastRowFirstColumn="0" w:lastRowLastColumn="0"/>
            <w:tcW w:w="1510" w:type="dxa"/>
            <w:vMerge/>
          </w:tcPr>
          <w:p w14:paraId="5BA68CAC" w14:textId="77777777" w:rsidR="00AE2A46" w:rsidRPr="00801C6D" w:rsidRDefault="00AE2A46" w:rsidP="00B46A29">
            <w:pPr>
              <w:rPr>
                <w:rFonts w:ascii="Arial" w:hAnsi="Arial" w:cs="Arial"/>
                <w:sz w:val="18"/>
                <w:szCs w:val="18"/>
              </w:rPr>
            </w:pPr>
          </w:p>
        </w:tc>
        <w:tc>
          <w:tcPr>
            <w:tcW w:w="710" w:type="dxa"/>
          </w:tcPr>
          <w:p w14:paraId="1F6F8997" w14:textId="77777777" w:rsidR="00AE2A46" w:rsidRPr="00801C6D" w:rsidRDefault="00AE2A46" w:rsidP="00B46A29">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801C6D">
              <w:rPr>
                <w:rFonts w:ascii="Arial" w:hAnsi="Arial" w:cs="Arial"/>
                <w:sz w:val="18"/>
                <w:szCs w:val="18"/>
              </w:rPr>
              <w:t>14</w:t>
            </w:r>
          </w:p>
        </w:tc>
        <w:tc>
          <w:tcPr>
            <w:tcW w:w="1797" w:type="dxa"/>
          </w:tcPr>
          <w:p w14:paraId="14FE16F0" w14:textId="77777777" w:rsidR="00AE2A46" w:rsidRPr="00801C6D" w:rsidRDefault="00AE2A46" w:rsidP="00B46A29">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801C6D">
              <w:rPr>
                <w:rFonts w:ascii="Arial" w:hAnsi="Arial" w:cs="Arial"/>
                <w:sz w:val="18"/>
                <w:szCs w:val="18"/>
              </w:rPr>
              <w:t>5.63 ±0.02B</w:t>
            </w:r>
          </w:p>
        </w:tc>
        <w:tc>
          <w:tcPr>
            <w:tcW w:w="2016" w:type="dxa"/>
          </w:tcPr>
          <w:p w14:paraId="72C2A7B0" w14:textId="77777777" w:rsidR="00AE2A46" w:rsidRPr="00801C6D" w:rsidRDefault="00AE2A46" w:rsidP="00B46A29">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801C6D">
              <w:rPr>
                <w:rFonts w:ascii="Arial" w:hAnsi="Arial" w:cs="Arial"/>
                <w:sz w:val="18"/>
                <w:szCs w:val="18"/>
              </w:rPr>
              <w:t>Yellowish cream</w:t>
            </w:r>
          </w:p>
        </w:tc>
        <w:tc>
          <w:tcPr>
            <w:tcW w:w="2060" w:type="dxa"/>
          </w:tcPr>
          <w:p w14:paraId="30A7F51D" w14:textId="77777777" w:rsidR="00AE2A46" w:rsidRPr="00801C6D" w:rsidRDefault="00AE2A46" w:rsidP="00B46A29">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801C6D">
              <w:rPr>
                <w:rFonts w:ascii="Arial" w:hAnsi="Arial" w:cs="Arial"/>
                <w:sz w:val="18"/>
                <w:szCs w:val="18"/>
              </w:rPr>
              <w:t>No separation</w:t>
            </w:r>
          </w:p>
        </w:tc>
      </w:tr>
      <w:tr w:rsidR="00AE2A46" w:rsidRPr="00801C6D" w14:paraId="5389AC53" w14:textId="77777777" w:rsidTr="00A81B3D">
        <w:trPr>
          <w:trHeight w:val="288"/>
          <w:jc w:val="center"/>
        </w:trPr>
        <w:tc>
          <w:tcPr>
            <w:cnfStyle w:val="001000000000" w:firstRow="0" w:lastRow="0" w:firstColumn="1" w:lastColumn="0" w:oddVBand="0" w:evenVBand="0" w:oddHBand="0" w:evenHBand="0" w:firstRowFirstColumn="0" w:firstRowLastColumn="0" w:lastRowFirstColumn="0" w:lastRowLastColumn="0"/>
            <w:tcW w:w="1510" w:type="dxa"/>
            <w:vMerge/>
          </w:tcPr>
          <w:p w14:paraId="79002427" w14:textId="77777777" w:rsidR="00AE2A46" w:rsidRPr="00801C6D" w:rsidRDefault="00AE2A46" w:rsidP="00B46A29">
            <w:pPr>
              <w:rPr>
                <w:rFonts w:ascii="Arial" w:hAnsi="Arial" w:cs="Arial"/>
                <w:sz w:val="18"/>
                <w:szCs w:val="18"/>
              </w:rPr>
            </w:pPr>
          </w:p>
        </w:tc>
        <w:tc>
          <w:tcPr>
            <w:tcW w:w="710" w:type="dxa"/>
          </w:tcPr>
          <w:p w14:paraId="1577E195" w14:textId="77777777" w:rsidR="00AE2A46" w:rsidRPr="00801C6D" w:rsidRDefault="00AE2A46" w:rsidP="00B46A29">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801C6D">
              <w:rPr>
                <w:rFonts w:ascii="Arial" w:hAnsi="Arial" w:cs="Arial"/>
                <w:sz w:val="18"/>
                <w:szCs w:val="18"/>
              </w:rPr>
              <w:t>21</w:t>
            </w:r>
          </w:p>
        </w:tc>
        <w:tc>
          <w:tcPr>
            <w:tcW w:w="1797" w:type="dxa"/>
          </w:tcPr>
          <w:p w14:paraId="3315DCE2" w14:textId="77777777" w:rsidR="00AE2A46" w:rsidRPr="00801C6D" w:rsidRDefault="00AE2A46" w:rsidP="00B46A29">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801C6D">
              <w:rPr>
                <w:rFonts w:ascii="Arial" w:hAnsi="Arial" w:cs="Arial"/>
                <w:sz w:val="18"/>
                <w:szCs w:val="18"/>
              </w:rPr>
              <w:t>5.64 ±0.02B</w:t>
            </w:r>
          </w:p>
        </w:tc>
        <w:tc>
          <w:tcPr>
            <w:tcW w:w="2016" w:type="dxa"/>
          </w:tcPr>
          <w:p w14:paraId="68C79614" w14:textId="77777777" w:rsidR="00AE2A46" w:rsidRPr="00801C6D" w:rsidRDefault="00AE2A46" w:rsidP="00B46A29">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801C6D">
              <w:rPr>
                <w:rFonts w:ascii="Arial" w:hAnsi="Arial" w:cs="Arial"/>
                <w:sz w:val="18"/>
                <w:szCs w:val="18"/>
              </w:rPr>
              <w:t>Yellowish cream</w:t>
            </w:r>
          </w:p>
        </w:tc>
        <w:tc>
          <w:tcPr>
            <w:tcW w:w="2060" w:type="dxa"/>
          </w:tcPr>
          <w:p w14:paraId="4BD55E26" w14:textId="77777777" w:rsidR="00AE2A46" w:rsidRPr="00801C6D" w:rsidRDefault="00AE2A46" w:rsidP="00B46A29">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801C6D">
              <w:rPr>
                <w:rFonts w:ascii="Arial" w:hAnsi="Arial" w:cs="Arial"/>
                <w:sz w:val="18"/>
                <w:szCs w:val="18"/>
              </w:rPr>
              <w:t>No separation</w:t>
            </w:r>
          </w:p>
        </w:tc>
      </w:tr>
      <w:tr w:rsidR="00AE2A46" w:rsidRPr="00801C6D" w14:paraId="58932664" w14:textId="77777777" w:rsidTr="00A81B3D">
        <w:trPr>
          <w:trHeight w:val="288"/>
          <w:jc w:val="center"/>
        </w:trPr>
        <w:tc>
          <w:tcPr>
            <w:cnfStyle w:val="001000000000" w:firstRow="0" w:lastRow="0" w:firstColumn="1" w:lastColumn="0" w:oddVBand="0" w:evenVBand="0" w:oddHBand="0" w:evenHBand="0" w:firstRowFirstColumn="0" w:firstRowLastColumn="0" w:lastRowFirstColumn="0" w:lastRowLastColumn="0"/>
            <w:tcW w:w="1510" w:type="dxa"/>
            <w:vMerge/>
          </w:tcPr>
          <w:p w14:paraId="63A4C1CB" w14:textId="77777777" w:rsidR="00AE2A46" w:rsidRPr="00801C6D" w:rsidRDefault="00AE2A46" w:rsidP="00B46A29">
            <w:pPr>
              <w:rPr>
                <w:rFonts w:ascii="Arial" w:hAnsi="Arial" w:cs="Arial"/>
                <w:sz w:val="18"/>
                <w:szCs w:val="18"/>
              </w:rPr>
            </w:pPr>
          </w:p>
        </w:tc>
        <w:tc>
          <w:tcPr>
            <w:tcW w:w="710" w:type="dxa"/>
          </w:tcPr>
          <w:p w14:paraId="42AB7A30" w14:textId="77777777" w:rsidR="00AE2A46" w:rsidRPr="00801C6D" w:rsidRDefault="00AE2A46" w:rsidP="00B46A29">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801C6D">
              <w:rPr>
                <w:rFonts w:ascii="Arial" w:hAnsi="Arial" w:cs="Arial"/>
                <w:sz w:val="18"/>
                <w:szCs w:val="18"/>
              </w:rPr>
              <w:t>28</w:t>
            </w:r>
          </w:p>
        </w:tc>
        <w:tc>
          <w:tcPr>
            <w:tcW w:w="1797" w:type="dxa"/>
          </w:tcPr>
          <w:p w14:paraId="477B5D6D" w14:textId="77777777" w:rsidR="00AE2A46" w:rsidRPr="00801C6D" w:rsidRDefault="00AE2A46" w:rsidP="00B46A29">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801C6D">
              <w:rPr>
                <w:rFonts w:ascii="Arial" w:hAnsi="Arial" w:cs="Arial"/>
                <w:sz w:val="18"/>
                <w:szCs w:val="18"/>
              </w:rPr>
              <w:t>5.63 ±0.03B</w:t>
            </w:r>
          </w:p>
        </w:tc>
        <w:tc>
          <w:tcPr>
            <w:tcW w:w="2016" w:type="dxa"/>
          </w:tcPr>
          <w:p w14:paraId="62BBFE34" w14:textId="77777777" w:rsidR="00AE2A46" w:rsidRPr="00801C6D" w:rsidRDefault="00AE2A46" w:rsidP="00B46A29">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801C6D">
              <w:rPr>
                <w:rFonts w:ascii="Arial" w:hAnsi="Arial" w:cs="Arial"/>
                <w:sz w:val="18"/>
                <w:szCs w:val="18"/>
              </w:rPr>
              <w:t>Yellowish cream</w:t>
            </w:r>
          </w:p>
        </w:tc>
        <w:tc>
          <w:tcPr>
            <w:tcW w:w="2060" w:type="dxa"/>
          </w:tcPr>
          <w:p w14:paraId="61140866" w14:textId="77777777" w:rsidR="00AE2A46" w:rsidRPr="00801C6D" w:rsidRDefault="00AE2A46" w:rsidP="00B46A29">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801C6D">
              <w:rPr>
                <w:rFonts w:ascii="Arial" w:hAnsi="Arial" w:cs="Arial"/>
                <w:sz w:val="18"/>
                <w:szCs w:val="18"/>
              </w:rPr>
              <w:t>No separation</w:t>
            </w:r>
          </w:p>
        </w:tc>
      </w:tr>
    </w:tbl>
    <w:p w14:paraId="2034B567" w14:textId="77777777" w:rsidR="00AE2A46" w:rsidRPr="00801C6D" w:rsidRDefault="00AE2A46" w:rsidP="00AE2A46">
      <w:pPr>
        <w:spacing w:after="120"/>
        <w:jc w:val="both"/>
        <w:rPr>
          <w:rFonts w:ascii="Arial" w:hAnsi="Arial" w:cs="Arial"/>
          <w:i/>
          <w:iCs/>
          <w:sz w:val="18"/>
          <w:szCs w:val="18"/>
        </w:rPr>
      </w:pPr>
      <w:r w:rsidRPr="00801C6D">
        <w:rPr>
          <w:rFonts w:ascii="Arial" w:hAnsi="Arial" w:cs="Arial"/>
          <w:sz w:val="20"/>
          <w:szCs w:val="20"/>
        </w:rPr>
        <w:t xml:space="preserve">            </w:t>
      </w:r>
      <w:r w:rsidRPr="00801C6D">
        <w:rPr>
          <w:rFonts w:ascii="Arial" w:hAnsi="Arial" w:cs="Arial"/>
          <w:i/>
          <w:iCs/>
          <w:sz w:val="18"/>
          <w:szCs w:val="18"/>
        </w:rPr>
        <w:t>Values with no shared letters vary significantly at p&gt;0.05, SD = standard deviation</w:t>
      </w:r>
    </w:p>
    <w:p w14:paraId="211FF98D" w14:textId="77777777" w:rsidR="00AE2A46" w:rsidRPr="00801C6D" w:rsidRDefault="00AE2A46" w:rsidP="00AE2A46">
      <w:pPr>
        <w:spacing w:after="120" w:line="276" w:lineRule="auto"/>
        <w:jc w:val="both"/>
        <w:rPr>
          <w:rFonts w:ascii="Arial" w:hAnsi="Arial" w:cs="Arial"/>
          <w:i/>
          <w:iCs/>
          <w:sz w:val="20"/>
          <w:szCs w:val="20"/>
        </w:rPr>
      </w:pPr>
      <w:r w:rsidRPr="00801C6D">
        <w:rPr>
          <w:rFonts w:ascii="Arial" w:hAnsi="Arial" w:cs="Arial"/>
          <w:i/>
          <w:iCs/>
          <w:sz w:val="20"/>
          <w:szCs w:val="20"/>
        </w:rPr>
        <w:t>Fourier transform infrared (FTIR) spectrum test</w:t>
      </w:r>
    </w:p>
    <w:p w14:paraId="62B5547C" w14:textId="77777777" w:rsidR="00AE2A46" w:rsidRDefault="00AE2A46" w:rsidP="00AE2A46">
      <w:pPr>
        <w:spacing w:after="120" w:line="276" w:lineRule="auto"/>
        <w:jc w:val="both"/>
        <w:rPr>
          <w:rFonts w:ascii="Arial" w:hAnsi="Arial" w:cs="Arial"/>
          <w:sz w:val="20"/>
          <w:szCs w:val="20"/>
        </w:rPr>
      </w:pPr>
      <w:r w:rsidRPr="00801C6D">
        <w:rPr>
          <w:rFonts w:ascii="Arial" w:hAnsi="Arial" w:cs="Arial"/>
          <w:sz w:val="20"/>
          <w:szCs w:val="20"/>
        </w:rPr>
        <w:t>Tables 5, 6, and 7 summarize the functional group classes identified from the FTIR spectra of the three formulations. As FTIR does not provide molecular identification, these results represent the collective contribution of chemical functional groups from the oils and excipients.</w:t>
      </w:r>
    </w:p>
    <w:p w14:paraId="396FE8AD" w14:textId="77777777" w:rsidR="00A81B3D" w:rsidRDefault="00A81B3D" w:rsidP="00AE2A46">
      <w:pPr>
        <w:spacing w:after="120" w:line="276" w:lineRule="auto"/>
        <w:jc w:val="both"/>
        <w:rPr>
          <w:rFonts w:ascii="Arial" w:hAnsi="Arial" w:cs="Arial"/>
          <w:sz w:val="20"/>
          <w:szCs w:val="20"/>
        </w:rPr>
      </w:pPr>
    </w:p>
    <w:p w14:paraId="0528B142" w14:textId="77777777" w:rsidR="00A81B3D" w:rsidRPr="00801C6D" w:rsidRDefault="00A81B3D" w:rsidP="00AE2A46">
      <w:pPr>
        <w:spacing w:after="120" w:line="276" w:lineRule="auto"/>
        <w:jc w:val="both"/>
        <w:rPr>
          <w:rFonts w:ascii="Arial" w:hAnsi="Arial" w:cs="Arial"/>
          <w:sz w:val="20"/>
          <w:szCs w:val="20"/>
        </w:rPr>
      </w:pPr>
    </w:p>
    <w:p w14:paraId="61771713" w14:textId="77777777" w:rsidR="00AE2A46" w:rsidRPr="00801C6D" w:rsidRDefault="00AE2A46" w:rsidP="00AE2A46">
      <w:pPr>
        <w:spacing w:after="120"/>
        <w:jc w:val="center"/>
        <w:rPr>
          <w:rFonts w:ascii="Arial" w:hAnsi="Arial" w:cs="Arial"/>
          <w:i/>
          <w:iCs/>
          <w:sz w:val="20"/>
          <w:szCs w:val="20"/>
        </w:rPr>
      </w:pPr>
      <w:r w:rsidRPr="00801C6D">
        <w:rPr>
          <w:rFonts w:ascii="Arial" w:hAnsi="Arial" w:cs="Arial"/>
          <w:b/>
          <w:bCs/>
          <w:i/>
          <w:iCs/>
          <w:sz w:val="20"/>
          <w:szCs w:val="20"/>
        </w:rPr>
        <w:lastRenderedPageBreak/>
        <w:t>Table 5</w:t>
      </w:r>
      <w:r w:rsidRPr="00801C6D">
        <w:rPr>
          <w:rFonts w:ascii="Arial" w:hAnsi="Arial" w:cs="Arial"/>
          <w:i/>
          <w:iCs/>
          <w:sz w:val="20"/>
          <w:szCs w:val="20"/>
        </w:rPr>
        <w:t>: Classification of The Wavenumber of F1</w:t>
      </w:r>
    </w:p>
    <w:tbl>
      <w:tblPr>
        <w:tblStyle w:val="TableGrid"/>
        <w:tblW w:w="0" w:type="auto"/>
        <w:jc w:val="center"/>
        <w:tblLook w:val="04A0" w:firstRow="1" w:lastRow="0" w:firstColumn="1" w:lastColumn="0" w:noHBand="0" w:noVBand="1"/>
      </w:tblPr>
      <w:tblGrid>
        <w:gridCol w:w="1795"/>
        <w:gridCol w:w="2738"/>
        <w:gridCol w:w="1843"/>
        <w:gridCol w:w="1559"/>
      </w:tblGrid>
      <w:tr w:rsidR="00AE2A46" w:rsidRPr="00801C6D" w14:paraId="4513C0F8" w14:textId="77777777" w:rsidTr="00574E65">
        <w:trPr>
          <w:trHeight w:val="20"/>
          <w:jc w:val="center"/>
        </w:trPr>
        <w:tc>
          <w:tcPr>
            <w:tcW w:w="1795" w:type="dxa"/>
          </w:tcPr>
          <w:p w14:paraId="026DE7BC" w14:textId="77777777" w:rsidR="00574E65" w:rsidRDefault="00AE2A46" w:rsidP="00B46A29">
            <w:pPr>
              <w:jc w:val="both"/>
              <w:rPr>
                <w:rFonts w:ascii="Arial" w:hAnsi="Arial" w:cs="Arial"/>
                <w:b/>
                <w:bCs/>
                <w:sz w:val="18"/>
                <w:szCs w:val="18"/>
              </w:rPr>
            </w:pPr>
            <w:r w:rsidRPr="00801C6D">
              <w:rPr>
                <w:rFonts w:ascii="Arial" w:hAnsi="Arial" w:cs="Arial"/>
                <w:b/>
                <w:bCs/>
                <w:sz w:val="18"/>
                <w:szCs w:val="18"/>
              </w:rPr>
              <w:t xml:space="preserve">Wavenumber </w:t>
            </w:r>
          </w:p>
          <w:p w14:paraId="30BD21AC" w14:textId="7C131086" w:rsidR="00AE2A46" w:rsidRPr="00801C6D" w:rsidRDefault="00AE2A46" w:rsidP="00B46A29">
            <w:pPr>
              <w:jc w:val="both"/>
              <w:rPr>
                <w:rFonts w:ascii="Arial" w:hAnsi="Arial" w:cs="Arial"/>
                <w:b/>
                <w:bCs/>
                <w:sz w:val="18"/>
                <w:szCs w:val="18"/>
              </w:rPr>
            </w:pPr>
            <w:r w:rsidRPr="00801C6D">
              <w:rPr>
                <w:rFonts w:ascii="Arial" w:hAnsi="Arial" w:cs="Arial"/>
                <w:b/>
                <w:bCs/>
                <w:sz w:val="18"/>
                <w:szCs w:val="18"/>
              </w:rPr>
              <w:t>(Cm-1)</w:t>
            </w:r>
          </w:p>
        </w:tc>
        <w:tc>
          <w:tcPr>
            <w:tcW w:w="2738" w:type="dxa"/>
          </w:tcPr>
          <w:p w14:paraId="62C1A14B" w14:textId="77777777" w:rsidR="00AE2A46" w:rsidRPr="00801C6D" w:rsidRDefault="00AE2A46" w:rsidP="00B46A29">
            <w:pPr>
              <w:jc w:val="center"/>
              <w:rPr>
                <w:rFonts w:ascii="Arial" w:hAnsi="Arial" w:cs="Arial"/>
                <w:b/>
                <w:bCs/>
                <w:sz w:val="18"/>
                <w:szCs w:val="18"/>
              </w:rPr>
            </w:pPr>
            <w:r w:rsidRPr="00801C6D">
              <w:rPr>
                <w:rFonts w:ascii="Arial" w:hAnsi="Arial" w:cs="Arial"/>
                <w:b/>
                <w:bCs/>
                <w:sz w:val="18"/>
                <w:szCs w:val="18"/>
              </w:rPr>
              <w:t>Compound Class</w:t>
            </w:r>
          </w:p>
        </w:tc>
        <w:tc>
          <w:tcPr>
            <w:tcW w:w="1843" w:type="dxa"/>
          </w:tcPr>
          <w:p w14:paraId="3955A3F8" w14:textId="77777777" w:rsidR="00AE2A46" w:rsidRPr="00801C6D" w:rsidRDefault="00AE2A46" w:rsidP="00B46A29">
            <w:pPr>
              <w:jc w:val="center"/>
              <w:rPr>
                <w:rFonts w:ascii="Arial" w:hAnsi="Arial" w:cs="Arial"/>
                <w:b/>
                <w:bCs/>
                <w:sz w:val="18"/>
                <w:szCs w:val="18"/>
              </w:rPr>
            </w:pPr>
            <w:r w:rsidRPr="00801C6D">
              <w:rPr>
                <w:rFonts w:ascii="Arial" w:hAnsi="Arial" w:cs="Arial"/>
                <w:b/>
                <w:bCs/>
                <w:sz w:val="18"/>
                <w:szCs w:val="18"/>
              </w:rPr>
              <w:t>Functional Group</w:t>
            </w:r>
          </w:p>
        </w:tc>
        <w:tc>
          <w:tcPr>
            <w:tcW w:w="1559" w:type="dxa"/>
          </w:tcPr>
          <w:p w14:paraId="25804640" w14:textId="77777777" w:rsidR="00AE2A46" w:rsidRPr="00801C6D" w:rsidRDefault="00AE2A46" w:rsidP="00B46A29">
            <w:pPr>
              <w:jc w:val="center"/>
              <w:rPr>
                <w:rFonts w:ascii="Arial" w:hAnsi="Arial" w:cs="Arial"/>
                <w:b/>
                <w:bCs/>
                <w:sz w:val="18"/>
                <w:szCs w:val="18"/>
              </w:rPr>
            </w:pPr>
            <w:r w:rsidRPr="00801C6D">
              <w:rPr>
                <w:rFonts w:ascii="Arial" w:hAnsi="Arial" w:cs="Arial"/>
                <w:b/>
                <w:bCs/>
                <w:sz w:val="18"/>
                <w:szCs w:val="18"/>
              </w:rPr>
              <w:t>Vibration Mode</w:t>
            </w:r>
          </w:p>
        </w:tc>
      </w:tr>
      <w:tr w:rsidR="00AE2A46" w:rsidRPr="00801C6D" w14:paraId="30A910BA" w14:textId="77777777" w:rsidTr="00574E65">
        <w:trPr>
          <w:trHeight w:val="20"/>
          <w:jc w:val="center"/>
        </w:trPr>
        <w:tc>
          <w:tcPr>
            <w:tcW w:w="1795" w:type="dxa"/>
            <w:vAlign w:val="center"/>
          </w:tcPr>
          <w:p w14:paraId="21DEBB05" w14:textId="77777777" w:rsidR="00AE2A46" w:rsidRPr="00801C6D" w:rsidRDefault="00AE2A46" w:rsidP="00B46A29">
            <w:pPr>
              <w:jc w:val="both"/>
              <w:rPr>
                <w:rFonts w:ascii="Arial" w:hAnsi="Arial" w:cs="Arial"/>
                <w:sz w:val="18"/>
                <w:szCs w:val="18"/>
              </w:rPr>
            </w:pPr>
            <w:r w:rsidRPr="00801C6D">
              <w:rPr>
                <w:rFonts w:ascii="Arial" w:hAnsi="Arial" w:cs="Arial"/>
                <w:sz w:val="18"/>
                <w:szCs w:val="18"/>
              </w:rPr>
              <w:t>3281</w:t>
            </w:r>
          </w:p>
        </w:tc>
        <w:tc>
          <w:tcPr>
            <w:tcW w:w="2738" w:type="dxa"/>
          </w:tcPr>
          <w:p w14:paraId="78B968E2" w14:textId="77777777" w:rsidR="00AE2A46" w:rsidRPr="00801C6D" w:rsidRDefault="00AE2A46" w:rsidP="00B46A29">
            <w:pPr>
              <w:jc w:val="center"/>
              <w:rPr>
                <w:rFonts w:ascii="Arial" w:hAnsi="Arial" w:cs="Arial"/>
                <w:sz w:val="18"/>
                <w:szCs w:val="18"/>
              </w:rPr>
            </w:pPr>
            <w:r w:rsidRPr="00801C6D">
              <w:rPr>
                <w:rFonts w:ascii="Arial" w:hAnsi="Arial" w:cs="Arial"/>
                <w:sz w:val="18"/>
                <w:szCs w:val="18"/>
              </w:rPr>
              <w:t>Intermolecularly bonded alcohol, carboxylic acid</w:t>
            </w:r>
          </w:p>
        </w:tc>
        <w:tc>
          <w:tcPr>
            <w:tcW w:w="1843" w:type="dxa"/>
            <w:vAlign w:val="center"/>
          </w:tcPr>
          <w:p w14:paraId="7BF99D89" w14:textId="77777777" w:rsidR="00AE2A46" w:rsidRPr="00801C6D" w:rsidRDefault="00AE2A46" w:rsidP="00B46A29">
            <w:pPr>
              <w:jc w:val="center"/>
              <w:rPr>
                <w:rFonts w:ascii="Arial" w:hAnsi="Arial" w:cs="Arial"/>
                <w:sz w:val="18"/>
                <w:szCs w:val="18"/>
              </w:rPr>
            </w:pPr>
            <w:r w:rsidRPr="00801C6D">
              <w:rPr>
                <w:rFonts w:ascii="Arial" w:hAnsi="Arial" w:cs="Arial"/>
                <w:sz w:val="18"/>
                <w:szCs w:val="18"/>
              </w:rPr>
              <w:t>O-H</w:t>
            </w:r>
          </w:p>
        </w:tc>
        <w:tc>
          <w:tcPr>
            <w:tcW w:w="1559" w:type="dxa"/>
            <w:vAlign w:val="center"/>
          </w:tcPr>
          <w:p w14:paraId="321D7F4A" w14:textId="77777777" w:rsidR="00AE2A46" w:rsidRPr="00801C6D" w:rsidRDefault="00AE2A46" w:rsidP="00B46A29">
            <w:pPr>
              <w:jc w:val="center"/>
              <w:rPr>
                <w:rFonts w:ascii="Arial" w:hAnsi="Arial" w:cs="Arial"/>
                <w:sz w:val="18"/>
                <w:szCs w:val="18"/>
              </w:rPr>
            </w:pPr>
            <w:r w:rsidRPr="00801C6D">
              <w:rPr>
                <w:rFonts w:ascii="Arial" w:hAnsi="Arial" w:cs="Arial"/>
                <w:sz w:val="18"/>
                <w:szCs w:val="18"/>
              </w:rPr>
              <w:t>Stretching</w:t>
            </w:r>
          </w:p>
        </w:tc>
      </w:tr>
      <w:tr w:rsidR="00AE2A46" w:rsidRPr="00801C6D" w14:paraId="3C3B3F22" w14:textId="77777777" w:rsidTr="00574E65">
        <w:trPr>
          <w:trHeight w:val="20"/>
          <w:jc w:val="center"/>
        </w:trPr>
        <w:tc>
          <w:tcPr>
            <w:tcW w:w="1795" w:type="dxa"/>
            <w:vAlign w:val="center"/>
          </w:tcPr>
          <w:p w14:paraId="60F3770D" w14:textId="77777777" w:rsidR="00AE2A46" w:rsidRPr="00801C6D" w:rsidRDefault="00AE2A46" w:rsidP="00B46A29">
            <w:pPr>
              <w:jc w:val="both"/>
              <w:rPr>
                <w:rFonts w:ascii="Arial" w:hAnsi="Arial" w:cs="Arial"/>
                <w:sz w:val="18"/>
                <w:szCs w:val="18"/>
              </w:rPr>
            </w:pPr>
            <w:r w:rsidRPr="00801C6D">
              <w:rPr>
                <w:rFonts w:ascii="Arial" w:hAnsi="Arial" w:cs="Arial"/>
                <w:sz w:val="18"/>
                <w:szCs w:val="18"/>
              </w:rPr>
              <w:t>1639</w:t>
            </w:r>
          </w:p>
        </w:tc>
        <w:tc>
          <w:tcPr>
            <w:tcW w:w="2738" w:type="dxa"/>
            <w:vAlign w:val="center"/>
          </w:tcPr>
          <w:p w14:paraId="772B1280" w14:textId="77777777" w:rsidR="00AE2A46" w:rsidRPr="00801C6D" w:rsidRDefault="00AE2A46" w:rsidP="00B46A29">
            <w:pPr>
              <w:jc w:val="center"/>
              <w:rPr>
                <w:rFonts w:ascii="Arial" w:hAnsi="Arial" w:cs="Arial"/>
                <w:sz w:val="18"/>
                <w:szCs w:val="18"/>
              </w:rPr>
            </w:pPr>
            <w:r w:rsidRPr="00801C6D">
              <w:rPr>
                <w:rFonts w:ascii="Arial" w:hAnsi="Arial" w:cs="Arial"/>
                <w:sz w:val="18"/>
                <w:szCs w:val="18"/>
              </w:rPr>
              <w:t>Alkene, amine</w:t>
            </w:r>
          </w:p>
        </w:tc>
        <w:tc>
          <w:tcPr>
            <w:tcW w:w="1843" w:type="dxa"/>
            <w:vAlign w:val="center"/>
          </w:tcPr>
          <w:p w14:paraId="4A719E1A" w14:textId="77777777" w:rsidR="00AE2A46" w:rsidRPr="00801C6D" w:rsidRDefault="00AE2A46" w:rsidP="00B46A29">
            <w:pPr>
              <w:jc w:val="center"/>
              <w:rPr>
                <w:rFonts w:ascii="Arial" w:hAnsi="Arial" w:cs="Arial"/>
                <w:sz w:val="18"/>
                <w:szCs w:val="18"/>
              </w:rPr>
            </w:pPr>
            <w:r w:rsidRPr="00801C6D">
              <w:rPr>
                <w:rFonts w:ascii="Arial" w:hAnsi="Arial" w:cs="Arial"/>
                <w:sz w:val="18"/>
                <w:szCs w:val="18"/>
              </w:rPr>
              <w:t>C=C</w:t>
            </w:r>
          </w:p>
          <w:p w14:paraId="03CB30FA" w14:textId="77777777" w:rsidR="00AE2A46" w:rsidRPr="00801C6D" w:rsidRDefault="00AE2A46" w:rsidP="00B46A29">
            <w:pPr>
              <w:jc w:val="center"/>
              <w:rPr>
                <w:rFonts w:ascii="Arial" w:hAnsi="Arial" w:cs="Arial"/>
                <w:sz w:val="18"/>
                <w:szCs w:val="18"/>
              </w:rPr>
            </w:pPr>
            <w:r w:rsidRPr="00801C6D">
              <w:rPr>
                <w:rFonts w:ascii="Arial" w:hAnsi="Arial" w:cs="Arial"/>
                <w:sz w:val="18"/>
                <w:szCs w:val="18"/>
              </w:rPr>
              <w:t>N-H</w:t>
            </w:r>
          </w:p>
        </w:tc>
        <w:tc>
          <w:tcPr>
            <w:tcW w:w="1559" w:type="dxa"/>
            <w:vAlign w:val="center"/>
          </w:tcPr>
          <w:p w14:paraId="25229F05" w14:textId="77777777" w:rsidR="00AE2A46" w:rsidRPr="00801C6D" w:rsidRDefault="00AE2A46" w:rsidP="00B46A29">
            <w:pPr>
              <w:jc w:val="center"/>
              <w:rPr>
                <w:rFonts w:ascii="Arial" w:hAnsi="Arial" w:cs="Arial"/>
                <w:sz w:val="18"/>
                <w:szCs w:val="18"/>
              </w:rPr>
            </w:pPr>
            <w:r w:rsidRPr="00801C6D">
              <w:rPr>
                <w:rFonts w:ascii="Arial" w:hAnsi="Arial" w:cs="Arial"/>
                <w:sz w:val="18"/>
                <w:szCs w:val="18"/>
              </w:rPr>
              <w:t>Stretching, bending</w:t>
            </w:r>
          </w:p>
        </w:tc>
      </w:tr>
      <w:tr w:rsidR="00AE2A46" w:rsidRPr="00801C6D" w14:paraId="5E3FD7CB" w14:textId="77777777" w:rsidTr="00574E65">
        <w:trPr>
          <w:trHeight w:val="20"/>
          <w:jc w:val="center"/>
        </w:trPr>
        <w:tc>
          <w:tcPr>
            <w:tcW w:w="1795" w:type="dxa"/>
            <w:vAlign w:val="center"/>
          </w:tcPr>
          <w:p w14:paraId="47F1DDA8" w14:textId="77777777" w:rsidR="00AE2A46" w:rsidRPr="00801C6D" w:rsidRDefault="00AE2A46" w:rsidP="00B46A29">
            <w:pPr>
              <w:jc w:val="both"/>
              <w:rPr>
                <w:rFonts w:ascii="Arial" w:hAnsi="Arial" w:cs="Arial"/>
                <w:sz w:val="18"/>
                <w:szCs w:val="18"/>
              </w:rPr>
            </w:pPr>
            <w:r w:rsidRPr="00801C6D">
              <w:rPr>
                <w:rFonts w:ascii="Arial" w:hAnsi="Arial" w:cs="Arial"/>
                <w:sz w:val="18"/>
                <w:szCs w:val="18"/>
              </w:rPr>
              <w:t>1413</w:t>
            </w:r>
          </w:p>
        </w:tc>
        <w:tc>
          <w:tcPr>
            <w:tcW w:w="2738" w:type="dxa"/>
            <w:vAlign w:val="center"/>
          </w:tcPr>
          <w:p w14:paraId="24D15BDC" w14:textId="77777777" w:rsidR="00AE2A46" w:rsidRPr="00801C6D" w:rsidRDefault="00AE2A46" w:rsidP="00B46A29">
            <w:pPr>
              <w:jc w:val="center"/>
              <w:rPr>
                <w:rFonts w:ascii="Arial" w:hAnsi="Arial" w:cs="Arial"/>
                <w:sz w:val="18"/>
                <w:szCs w:val="18"/>
              </w:rPr>
            </w:pPr>
            <w:r w:rsidRPr="00801C6D">
              <w:rPr>
                <w:rFonts w:ascii="Arial" w:hAnsi="Arial" w:cs="Arial"/>
                <w:sz w:val="18"/>
                <w:szCs w:val="18"/>
              </w:rPr>
              <w:t>Sulfate, alcohol</w:t>
            </w:r>
          </w:p>
        </w:tc>
        <w:tc>
          <w:tcPr>
            <w:tcW w:w="1843" w:type="dxa"/>
            <w:vAlign w:val="center"/>
          </w:tcPr>
          <w:p w14:paraId="0EBDDAFF" w14:textId="77777777" w:rsidR="00AE2A46" w:rsidRPr="00801C6D" w:rsidRDefault="00AE2A46" w:rsidP="00B46A29">
            <w:pPr>
              <w:jc w:val="center"/>
              <w:rPr>
                <w:rFonts w:ascii="Arial" w:hAnsi="Arial" w:cs="Arial"/>
                <w:sz w:val="18"/>
                <w:szCs w:val="18"/>
              </w:rPr>
            </w:pPr>
            <w:r w:rsidRPr="00801C6D">
              <w:rPr>
                <w:rFonts w:ascii="Arial" w:hAnsi="Arial" w:cs="Arial"/>
                <w:sz w:val="18"/>
                <w:szCs w:val="18"/>
              </w:rPr>
              <w:t>S=O</w:t>
            </w:r>
          </w:p>
          <w:p w14:paraId="24871479" w14:textId="77777777" w:rsidR="00AE2A46" w:rsidRPr="00801C6D" w:rsidRDefault="00AE2A46" w:rsidP="00B46A29">
            <w:pPr>
              <w:jc w:val="center"/>
              <w:rPr>
                <w:rFonts w:ascii="Arial" w:hAnsi="Arial" w:cs="Arial"/>
                <w:sz w:val="18"/>
                <w:szCs w:val="18"/>
              </w:rPr>
            </w:pPr>
            <w:r w:rsidRPr="00801C6D">
              <w:rPr>
                <w:rFonts w:ascii="Arial" w:hAnsi="Arial" w:cs="Arial"/>
                <w:sz w:val="18"/>
                <w:szCs w:val="18"/>
              </w:rPr>
              <w:t>O-H</w:t>
            </w:r>
          </w:p>
        </w:tc>
        <w:tc>
          <w:tcPr>
            <w:tcW w:w="1559" w:type="dxa"/>
            <w:vAlign w:val="center"/>
          </w:tcPr>
          <w:p w14:paraId="6D292365" w14:textId="77777777" w:rsidR="00AE2A46" w:rsidRPr="00801C6D" w:rsidRDefault="00AE2A46" w:rsidP="00B46A29">
            <w:pPr>
              <w:jc w:val="center"/>
              <w:rPr>
                <w:rFonts w:ascii="Arial" w:hAnsi="Arial" w:cs="Arial"/>
                <w:sz w:val="18"/>
                <w:szCs w:val="18"/>
              </w:rPr>
            </w:pPr>
            <w:r w:rsidRPr="00801C6D">
              <w:rPr>
                <w:rFonts w:ascii="Arial" w:hAnsi="Arial" w:cs="Arial"/>
                <w:sz w:val="18"/>
                <w:szCs w:val="18"/>
              </w:rPr>
              <w:t>Stretching, bending</w:t>
            </w:r>
          </w:p>
        </w:tc>
      </w:tr>
      <w:tr w:rsidR="00AE2A46" w:rsidRPr="00801C6D" w14:paraId="3A7CB79A" w14:textId="77777777" w:rsidTr="00574E65">
        <w:trPr>
          <w:trHeight w:val="20"/>
          <w:jc w:val="center"/>
        </w:trPr>
        <w:tc>
          <w:tcPr>
            <w:tcW w:w="1795" w:type="dxa"/>
            <w:vAlign w:val="center"/>
          </w:tcPr>
          <w:p w14:paraId="52467B8F" w14:textId="77777777" w:rsidR="00AE2A46" w:rsidRPr="00801C6D" w:rsidRDefault="00AE2A46" w:rsidP="00B46A29">
            <w:pPr>
              <w:jc w:val="both"/>
              <w:rPr>
                <w:rFonts w:ascii="Arial" w:hAnsi="Arial" w:cs="Arial"/>
                <w:sz w:val="18"/>
                <w:szCs w:val="18"/>
              </w:rPr>
            </w:pPr>
            <w:r w:rsidRPr="00801C6D">
              <w:rPr>
                <w:rFonts w:ascii="Arial" w:hAnsi="Arial" w:cs="Arial"/>
                <w:sz w:val="18"/>
                <w:szCs w:val="18"/>
              </w:rPr>
              <w:t>1042</w:t>
            </w:r>
          </w:p>
        </w:tc>
        <w:tc>
          <w:tcPr>
            <w:tcW w:w="2738" w:type="dxa"/>
            <w:vAlign w:val="center"/>
          </w:tcPr>
          <w:p w14:paraId="74FEFD9B" w14:textId="77777777" w:rsidR="00AE2A46" w:rsidRPr="00801C6D" w:rsidRDefault="00AE2A46" w:rsidP="00B46A29">
            <w:pPr>
              <w:jc w:val="center"/>
              <w:rPr>
                <w:rFonts w:ascii="Arial" w:hAnsi="Arial" w:cs="Arial"/>
                <w:sz w:val="18"/>
                <w:szCs w:val="18"/>
              </w:rPr>
            </w:pPr>
            <w:r w:rsidRPr="00801C6D">
              <w:rPr>
                <w:rFonts w:ascii="Arial" w:hAnsi="Arial" w:cs="Arial"/>
                <w:sz w:val="18"/>
                <w:szCs w:val="18"/>
              </w:rPr>
              <w:t>Fluoro compound, amine, sulfoxide, anhydride</w:t>
            </w:r>
          </w:p>
        </w:tc>
        <w:tc>
          <w:tcPr>
            <w:tcW w:w="1843" w:type="dxa"/>
            <w:vAlign w:val="center"/>
          </w:tcPr>
          <w:p w14:paraId="75540948" w14:textId="77777777" w:rsidR="00AE2A46" w:rsidRPr="00801C6D" w:rsidRDefault="00AE2A46" w:rsidP="00B46A29">
            <w:pPr>
              <w:jc w:val="center"/>
              <w:rPr>
                <w:rFonts w:ascii="Arial" w:hAnsi="Arial" w:cs="Arial"/>
                <w:sz w:val="18"/>
                <w:szCs w:val="18"/>
              </w:rPr>
            </w:pPr>
            <w:r w:rsidRPr="00801C6D">
              <w:rPr>
                <w:rFonts w:ascii="Arial" w:hAnsi="Arial" w:cs="Arial"/>
                <w:sz w:val="18"/>
                <w:szCs w:val="18"/>
              </w:rPr>
              <w:t>C-F</w:t>
            </w:r>
          </w:p>
          <w:p w14:paraId="33F5179A" w14:textId="77777777" w:rsidR="00AE2A46" w:rsidRPr="00801C6D" w:rsidRDefault="00AE2A46" w:rsidP="00B46A29">
            <w:pPr>
              <w:jc w:val="center"/>
              <w:rPr>
                <w:rFonts w:ascii="Arial" w:hAnsi="Arial" w:cs="Arial"/>
                <w:sz w:val="18"/>
                <w:szCs w:val="18"/>
              </w:rPr>
            </w:pPr>
            <w:r w:rsidRPr="00801C6D">
              <w:rPr>
                <w:rFonts w:ascii="Arial" w:hAnsi="Arial" w:cs="Arial"/>
                <w:sz w:val="18"/>
                <w:szCs w:val="18"/>
              </w:rPr>
              <w:t>C-N</w:t>
            </w:r>
          </w:p>
          <w:p w14:paraId="5C973FF1" w14:textId="77777777" w:rsidR="00AE2A46" w:rsidRPr="00801C6D" w:rsidRDefault="00AE2A46" w:rsidP="00B46A29">
            <w:pPr>
              <w:jc w:val="center"/>
              <w:rPr>
                <w:rFonts w:ascii="Arial" w:hAnsi="Arial" w:cs="Arial"/>
                <w:sz w:val="18"/>
                <w:szCs w:val="18"/>
              </w:rPr>
            </w:pPr>
            <w:r w:rsidRPr="00801C6D">
              <w:rPr>
                <w:rFonts w:ascii="Arial" w:hAnsi="Arial" w:cs="Arial"/>
                <w:sz w:val="18"/>
                <w:szCs w:val="18"/>
              </w:rPr>
              <w:t>S=O</w:t>
            </w:r>
          </w:p>
          <w:p w14:paraId="317CE7F4" w14:textId="77777777" w:rsidR="00AE2A46" w:rsidRPr="00801C6D" w:rsidRDefault="00AE2A46" w:rsidP="00B46A29">
            <w:pPr>
              <w:jc w:val="center"/>
              <w:rPr>
                <w:rFonts w:ascii="Arial" w:hAnsi="Arial" w:cs="Arial"/>
                <w:sz w:val="18"/>
                <w:szCs w:val="18"/>
              </w:rPr>
            </w:pPr>
            <w:r w:rsidRPr="00801C6D">
              <w:rPr>
                <w:rFonts w:ascii="Arial" w:hAnsi="Arial" w:cs="Arial"/>
                <w:sz w:val="18"/>
                <w:szCs w:val="18"/>
              </w:rPr>
              <w:t>CO-O-CO</w:t>
            </w:r>
          </w:p>
        </w:tc>
        <w:tc>
          <w:tcPr>
            <w:tcW w:w="1559" w:type="dxa"/>
            <w:vAlign w:val="center"/>
          </w:tcPr>
          <w:p w14:paraId="1FDB4898" w14:textId="77777777" w:rsidR="00AE2A46" w:rsidRPr="00801C6D" w:rsidRDefault="00AE2A46" w:rsidP="00B46A29">
            <w:pPr>
              <w:jc w:val="center"/>
              <w:rPr>
                <w:rFonts w:ascii="Arial" w:hAnsi="Arial" w:cs="Arial"/>
                <w:sz w:val="18"/>
                <w:szCs w:val="18"/>
              </w:rPr>
            </w:pPr>
            <w:r w:rsidRPr="00801C6D">
              <w:rPr>
                <w:rFonts w:ascii="Arial" w:hAnsi="Arial" w:cs="Arial"/>
                <w:sz w:val="18"/>
                <w:szCs w:val="18"/>
              </w:rPr>
              <w:t>Stretching</w:t>
            </w:r>
          </w:p>
        </w:tc>
      </w:tr>
      <w:tr w:rsidR="00AE2A46" w:rsidRPr="00801C6D" w14:paraId="38A836B1" w14:textId="77777777" w:rsidTr="00574E65">
        <w:trPr>
          <w:trHeight w:val="20"/>
          <w:jc w:val="center"/>
        </w:trPr>
        <w:tc>
          <w:tcPr>
            <w:tcW w:w="1795" w:type="dxa"/>
            <w:vAlign w:val="center"/>
          </w:tcPr>
          <w:p w14:paraId="5D9C5441" w14:textId="77777777" w:rsidR="00AE2A46" w:rsidRPr="00801C6D" w:rsidRDefault="00AE2A46" w:rsidP="00B46A29">
            <w:pPr>
              <w:jc w:val="both"/>
              <w:rPr>
                <w:rFonts w:ascii="Arial" w:hAnsi="Arial" w:cs="Arial"/>
                <w:sz w:val="18"/>
                <w:szCs w:val="18"/>
              </w:rPr>
            </w:pPr>
            <w:r w:rsidRPr="00801C6D">
              <w:rPr>
                <w:rFonts w:ascii="Arial" w:hAnsi="Arial" w:cs="Arial"/>
                <w:sz w:val="18"/>
                <w:szCs w:val="18"/>
              </w:rPr>
              <w:t>992</w:t>
            </w:r>
          </w:p>
        </w:tc>
        <w:tc>
          <w:tcPr>
            <w:tcW w:w="2738" w:type="dxa"/>
          </w:tcPr>
          <w:p w14:paraId="51591C20" w14:textId="77777777" w:rsidR="00AE2A46" w:rsidRPr="00801C6D" w:rsidRDefault="00AE2A46" w:rsidP="00B46A29">
            <w:pPr>
              <w:jc w:val="center"/>
              <w:rPr>
                <w:rFonts w:ascii="Arial" w:hAnsi="Arial" w:cs="Arial"/>
                <w:sz w:val="18"/>
                <w:szCs w:val="18"/>
              </w:rPr>
            </w:pPr>
            <w:r w:rsidRPr="00801C6D">
              <w:rPr>
                <w:rFonts w:ascii="Arial" w:hAnsi="Arial" w:cs="Arial"/>
                <w:sz w:val="18"/>
                <w:szCs w:val="18"/>
              </w:rPr>
              <w:t>Monosubstituted alkene</w:t>
            </w:r>
          </w:p>
        </w:tc>
        <w:tc>
          <w:tcPr>
            <w:tcW w:w="1843" w:type="dxa"/>
            <w:vAlign w:val="center"/>
          </w:tcPr>
          <w:p w14:paraId="6298E1A6" w14:textId="77777777" w:rsidR="00AE2A46" w:rsidRPr="00801C6D" w:rsidRDefault="00AE2A46" w:rsidP="00B46A29">
            <w:pPr>
              <w:jc w:val="center"/>
              <w:rPr>
                <w:rFonts w:ascii="Arial" w:hAnsi="Arial" w:cs="Arial"/>
                <w:sz w:val="18"/>
                <w:szCs w:val="18"/>
              </w:rPr>
            </w:pPr>
            <w:r w:rsidRPr="00801C6D">
              <w:rPr>
                <w:rFonts w:ascii="Arial" w:hAnsi="Arial" w:cs="Arial"/>
                <w:sz w:val="18"/>
                <w:szCs w:val="18"/>
              </w:rPr>
              <w:t>C=C</w:t>
            </w:r>
          </w:p>
        </w:tc>
        <w:tc>
          <w:tcPr>
            <w:tcW w:w="1559" w:type="dxa"/>
            <w:vAlign w:val="center"/>
          </w:tcPr>
          <w:p w14:paraId="1E1577F8" w14:textId="77777777" w:rsidR="00AE2A46" w:rsidRPr="00801C6D" w:rsidRDefault="00AE2A46" w:rsidP="00B46A29">
            <w:pPr>
              <w:jc w:val="center"/>
              <w:rPr>
                <w:rFonts w:ascii="Arial" w:hAnsi="Arial" w:cs="Arial"/>
                <w:sz w:val="18"/>
                <w:szCs w:val="18"/>
              </w:rPr>
            </w:pPr>
            <w:r w:rsidRPr="00801C6D">
              <w:rPr>
                <w:rFonts w:ascii="Arial" w:hAnsi="Arial" w:cs="Arial"/>
                <w:sz w:val="18"/>
                <w:szCs w:val="18"/>
              </w:rPr>
              <w:t>Bending</w:t>
            </w:r>
          </w:p>
        </w:tc>
      </w:tr>
    </w:tbl>
    <w:p w14:paraId="2846F6B9" w14:textId="77777777" w:rsidR="00AE2A46" w:rsidRPr="00801C6D" w:rsidRDefault="00AE2A46" w:rsidP="00AE2A46">
      <w:pPr>
        <w:spacing w:after="120"/>
        <w:jc w:val="both"/>
        <w:rPr>
          <w:rFonts w:ascii="Arial" w:hAnsi="Arial" w:cs="Arial"/>
          <w:i/>
          <w:iCs/>
          <w:sz w:val="18"/>
          <w:szCs w:val="18"/>
        </w:rPr>
      </w:pPr>
      <w:r w:rsidRPr="00801C6D">
        <w:rPr>
          <w:rFonts w:ascii="Arial" w:hAnsi="Arial" w:cs="Arial"/>
          <w:sz w:val="20"/>
          <w:szCs w:val="20"/>
        </w:rPr>
        <w:t xml:space="preserve">  </w:t>
      </w:r>
      <w:r w:rsidRPr="00801C6D">
        <w:rPr>
          <w:rFonts w:ascii="Arial" w:hAnsi="Arial" w:cs="Arial"/>
          <w:sz w:val="20"/>
          <w:szCs w:val="20"/>
        </w:rPr>
        <w:tab/>
      </w:r>
      <w:r w:rsidRPr="00801C6D">
        <w:rPr>
          <w:rFonts w:ascii="Arial" w:hAnsi="Arial" w:cs="Arial"/>
          <w:i/>
          <w:iCs/>
          <w:sz w:val="18"/>
          <w:szCs w:val="18"/>
        </w:rPr>
        <w:t>C- carbon, O-oxygen, N-nitrogen, H-hydrogen, S-sulfur, F-fluorine</w:t>
      </w:r>
    </w:p>
    <w:p w14:paraId="4573E98E" w14:textId="77777777" w:rsidR="00AE2A46" w:rsidRPr="00801C6D" w:rsidRDefault="00AE2A46" w:rsidP="00AE2A46">
      <w:pPr>
        <w:spacing w:after="120"/>
        <w:jc w:val="both"/>
        <w:rPr>
          <w:rFonts w:ascii="Arial" w:hAnsi="Arial" w:cs="Arial"/>
          <w:sz w:val="20"/>
          <w:szCs w:val="20"/>
        </w:rPr>
      </w:pPr>
    </w:p>
    <w:p w14:paraId="0AD3B7F8" w14:textId="77777777" w:rsidR="00AE2A46" w:rsidRPr="00801C6D" w:rsidRDefault="00AE2A46" w:rsidP="00AE2A46">
      <w:pPr>
        <w:spacing w:after="120"/>
        <w:jc w:val="center"/>
        <w:rPr>
          <w:rFonts w:ascii="Arial" w:hAnsi="Arial" w:cs="Arial"/>
          <w:i/>
          <w:iCs/>
          <w:sz w:val="20"/>
          <w:szCs w:val="20"/>
        </w:rPr>
      </w:pPr>
      <w:r w:rsidRPr="00801C6D">
        <w:rPr>
          <w:rFonts w:ascii="Arial" w:hAnsi="Arial" w:cs="Arial"/>
          <w:b/>
          <w:bCs/>
          <w:i/>
          <w:iCs/>
          <w:sz w:val="20"/>
          <w:szCs w:val="20"/>
        </w:rPr>
        <w:t xml:space="preserve">Table 6: </w:t>
      </w:r>
      <w:r w:rsidRPr="00801C6D">
        <w:rPr>
          <w:rFonts w:ascii="Arial" w:hAnsi="Arial" w:cs="Arial"/>
          <w:i/>
          <w:iCs/>
          <w:sz w:val="20"/>
          <w:szCs w:val="20"/>
        </w:rPr>
        <w:t>Classification of the Wavenumber of F2</w:t>
      </w:r>
    </w:p>
    <w:tbl>
      <w:tblPr>
        <w:tblStyle w:val="TableGrid"/>
        <w:tblW w:w="0" w:type="auto"/>
        <w:jc w:val="center"/>
        <w:tblLook w:val="04A0" w:firstRow="1" w:lastRow="0" w:firstColumn="1" w:lastColumn="0" w:noHBand="0" w:noVBand="1"/>
      </w:tblPr>
      <w:tblGrid>
        <w:gridCol w:w="1701"/>
        <w:gridCol w:w="2410"/>
        <w:gridCol w:w="1980"/>
        <w:gridCol w:w="1701"/>
      </w:tblGrid>
      <w:tr w:rsidR="00AE2A46" w:rsidRPr="00801C6D" w14:paraId="5F2042F8" w14:textId="77777777" w:rsidTr="00B46A29">
        <w:trPr>
          <w:jc w:val="center"/>
        </w:trPr>
        <w:tc>
          <w:tcPr>
            <w:tcW w:w="1701" w:type="dxa"/>
            <w:vAlign w:val="center"/>
          </w:tcPr>
          <w:p w14:paraId="77454E3A" w14:textId="77777777" w:rsidR="00AE2A46" w:rsidRPr="00801C6D" w:rsidRDefault="00AE2A46" w:rsidP="00B46A29">
            <w:pPr>
              <w:jc w:val="both"/>
              <w:rPr>
                <w:rFonts w:ascii="Arial" w:hAnsi="Arial" w:cs="Arial"/>
                <w:b/>
                <w:bCs/>
                <w:sz w:val="18"/>
                <w:szCs w:val="18"/>
              </w:rPr>
            </w:pPr>
            <w:r w:rsidRPr="00801C6D">
              <w:rPr>
                <w:rFonts w:ascii="Arial" w:hAnsi="Arial" w:cs="Arial"/>
                <w:b/>
                <w:bCs/>
                <w:sz w:val="18"/>
                <w:szCs w:val="18"/>
              </w:rPr>
              <w:t>Wavenumber (cm-1)</w:t>
            </w:r>
          </w:p>
        </w:tc>
        <w:tc>
          <w:tcPr>
            <w:tcW w:w="2410" w:type="dxa"/>
            <w:vAlign w:val="center"/>
          </w:tcPr>
          <w:p w14:paraId="38D6FC8F" w14:textId="77777777" w:rsidR="00AE2A46" w:rsidRPr="00801C6D" w:rsidRDefault="00AE2A46" w:rsidP="00B46A29">
            <w:pPr>
              <w:jc w:val="both"/>
              <w:rPr>
                <w:rFonts w:ascii="Arial" w:hAnsi="Arial" w:cs="Arial"/>
                <w:b/>
                <w:bCs/>
                <w:sz w:val="18"/>
                <w:szCs w:val="18"/>
              </w:rPr>
            </w:pPr>
            <w:r w:rsidRPr="00801C6D">
              <w:rPr>
                <w:rFonts w:ascii="Arial" w:hAnsi="Arial" w:cs="Arial"/>
                <w:b/>
                <w:bCs/>
                <w:sz w:val="18"/>
                <w:szCs w:val="18"/>
              </w:rPr>
              <w:t>Compound Class</w:t>
            </w:r>
          </w:p>
        </w:tc>
        <w:tc>
          <w:tcPr>
            <w:tcW w:w="1980" w:type="dxa"/>
            <w:vAlign w:val="center"/>
          </w:tcPr>
          <w:p w14:paraId="2AA3CC99" w14:textId="77777777" w:rsidR="00AE2A46" w:rsidRPr="00801C6D" w:rsidRDefault="00AE2A46" w:rsidP="00B46A29">
            <w:pPr>
              <w:jc w:val="both"/>
              <w:rPr>
                <w:rFonts w:ascii="Arial" w:hAnsi="Arial" w:cs="Arial"/>
                <w:b/>
                <w:bCs/>
                <w:sz w:val="18"/>
                <w:szCs w:val="18"/>
              </w:rPr>
            </w:pPr>
            <w:r w:rsidRPr="00801C6D">
              <w:rPr>
                <w:rFonts w:ascii="Arial" w:hAnsi="Arial" w:cs="Arial"/>
                <w:b/>
                <w:bCs/>
                <w:sz w:val="18"/>
                <w:szCs w:val="18"/>
              </w:rPr>
              <w:t>Functional Group</w:t>
            </w:r>
          </w:p>
        </w:tc>
        <w:tc>
          <w:tcPr>
            <w:tcW w:w="1701" w:type="dxa"/>
            <w:vAlign w:val="center"/>
          </w:tcPr>
          <w:p w14:paraId="68ECCA78" w14:textId="77777777" w:rsidR="00AE2A46" w:rsidRPr="00801C6D" w:rsidRDefault="00AE2A46" w:rsidP="00B46A29">
            <w:pPr>
              <w:jc w:val="both"/>
              <w:rPr>
                <w:rFonts w:ascii="Arial" w:hAnsi="Arial" w:cs="Arial"/>
                <w:b/>
                <w:bCs/>
                <w:sz w:val="18"/>
                <w:szCs w:val="18"/>
              </w:rPr>
            </w:pPr>
            <w:r w:rsidRPr="00801C6D">
              <w:rPr>
                <w:rFonts w:ascii="Arial" w:hAnsi="Arial" w:cs="Arial"/>
                <w:b/>
                <w:bCs/>
                <w:sz w:val="18"/>
                <w:szCs w:val="18"/>
              </w:rPr>
              <w:t>Vibration Mode</w:t>
            </w:r>
          </w:p>
        </w:tc>
      </w:tr>
      <w:tr w:rsidR="00AE2A46" w:rsidRPr="00801C6D" w14:paraId="6F21743F" w14:textId="77777777" w:rsidTr="00B46A29">
        <w:trPr>
          <w:jc w:val="center"/>
        </w:trPr>
        <w:tc>
          <w:tcPr>
            <w:tcW w:w="1701" w:type="dxa"/>
            <w:vAlign w:val="center"/>
          </w:tcPr>
          <w:p w14:paraId="73B61B14" w14:textId="77777777" w:rsidR="00AE2A46" w:rsidRPr="00801C6D" w:rsidRDefault="00AE2A46" w:rsidP="00B46A29">
            <w:pPr>
              <w:jc w:val="both"/>
              <w:rPr>
                <w:rFonts w:ascii="Arial" w:hAnsi="Arial" w:cs="Arial"/>
                <w:sz w:val="18"/>
                <w:szCs w:val="18"/>
              </w:rPr>
            </w:pPr>
            <w:r w:rsidRPr="00801C6D">
              <w:rPr>
                <w:rFonts w:ascii="Arial" w:hAnsi="Arial" w:cs="Arial"/>
                <w:sz w:val="18"/>
                <w:szCs w:val="18"/>
              </w:rPr>
              <w:t>3281</w:t>
            </w:r>
          </w:p>
        </w:tc>
        <w:tc>
          <w:tcPr>
            <w:tcW w:w="2410" w:type="dxa"/>
            <w:vAlign w:val="center"/>
          </w:tcPr>
          <w:p w14:paraId="2C39B931" w14:textId="77777777" w:rsidR="00AE2A46" w:rsidRPr="00801C6D" w:rsidRDefault="00AE2A46" w:rsidP="00B46A29">
            <w:pPr>
              <w:jc w:val="both"/>
              <w:rPr>
                <w:rFonts w:ascii="Arial" w:hAnsi="Arial" w:cs="Arial"/>
                <w:sz w:val="18"/>
                <w:szCs w:val="18"/>
              </w:rPr>
            </w:pPr>
            <w:r w:rsidRPr="00801C6D">
              <w:rPr>
                <w:rFonts w:ascii="Arial" w:hAnsi="Arial" w:cs="Arial"/>
                <w:sz w:val="18"/>
                <w:szCs w:val="18"/>
              </w:rPr>
              <w:t>Intermolecularly bonded alcohol, carboxylic acid</w:t>
            </w:r>
          </w:p>
        </w:tc>
        <w:tc>
          <w:tcPr>
            <w:tcW w:w="1980" w:type="dxa"/>
            <w:vAlign w:val="center"/>
          </w:tcPr>
          <w:p w14:paraId="3D824812" w14:textId="77777777" w:rsidR="00AE2A46" w:rsidRPr="00801C6D" w:rsidRDefault="00AE2A46" w:rsidP="00B46A29">
            <w:pPr>
              <w:jc w:val="both"/>
              <w:rPr>
                <w:rFonts w:ascii="Arial" w:hAnsi="Arial" w:cs="Arial"/>
                <w:sz w:val="18"/>
                <w:szCs w:val="18"/>
              </w:rPr>
            </w:pPr>
            <w:r w:rsidRPr="00801C6D">
              <w:rPr>
                <w:rFonts w:ascii="Arial" w:hAnsi="Arial" w:cs="Arial"/>
                <w:sz w:val="18"/>
                <w:szCs w:val="18"/>
              </w:rPr>
              <w:t>O-H</w:t>
            </w:r>
          </w:p>
        </w:tc>
        <w:tc>
          <w:tcPr>
            <w:tcW w:w="1701" w:type="dxa"/>
            <w:vAlign w:val="center"/>
          </w:tcPr>
          <w:p w14:paraId="4A13A804" w14:textId="77777777" w:rsidR="00AE2A46" w:rsidRPr="00801C6D" w:rsidRDefault="00AE2A46" w:rsidP="00B46A29">
            <w:pPr>
              <w:jc w:val="both"/>
              <w:rPr>
                <w:rFonts w:ascii="Arial" w:hAnsi="Arial" w:cs="Arial"/>
                <w:sz w:val="18"/>
                <w:szCs w:val="18"/>
              </w:rPr>
            </w:pPr>
            <w:r w:rsidRPr="00801C6D">
              <w:rPr>
                <w:rFonts w:ascii="Arial" w:hAnsi="Arial" w:cs="Arial"/>
                <w:sz w:val="18"/>
                <w:szCs w:val="18"/>
              </w:rPr>
              <w:t>Stretching</w:t>
            </w:r>
          </w:p>
        </w:tc>
      </w:tr>
      <w:tr w:rsidR="00AE2A46" w:rsidRPr="00801C6D" w14:paraId="069A0621" w14:textId="77777777" w:rsidTr="00B46A29">
        <w:trPr>
          <w:trHeight w:val="305"/>
          <w:jc w:val="center"/>
        </w:trPr>
        <w:tc>
          <w:tcPr>
            <w:tcW w:w="1701" w:type="dxa"/>
            <w:vAlign w:val="center"/>
          </w:tcPr>
          <w:p w14:paraId="71758A12" w14:textId="77777777" w:rsidR="00AE2A46" w:rsidRPr="00801C6D" w:rsidRDefault="00AE2A46" w:rsidP="00B46A29">
            <w:pPr>
              <w:jc w:val="both"/>
              <w:rPr>
                <w:rFonts w:ascii="Arial" w:hAnsi="Arial" w:cs="Arial"/>
                <w:sz w:val="18"/>
                <w:szCs w:val="18"/>
              </w:rPr>
            </w:pPr>
            <w:r w:rsidRPr="00801C6D">
              <w:rPr>
                <w:rFonts w:ascii="Arial" w:hAnsi="Arial" w:cs="Arial"/>
                <w:sz w:val="18"/>
                <w:szCs w:val="18"/>
              </w:rPr>
              <w:t>2192</w:t>
            </w:r>
          </w:p>
        </w:tc>
        <w:tc>
          <w:tcPr>
            <w:tcW w:w="2410" w:type="dxa"/>
            <w:vAlign w:val="center"/>
          </w:tcPr>
          <w:p w14:paraId="453ED80A" w14:textId="77777777" w:rsidR="00AE2A46" w:rsidRPr="00801C6D" w:rsidRDefault="00AE2A46" w:rsidP="00B46A29">
            <w:pPr>
              <w:jc w:val="both"/>
              <w:rPr>
                <w:rFonts w:ascii="Arial" w:hAnsi="Arial" w:cs="Arial"/>
                <w:sz w:val="18"/>
                <w:szCs w:val="18"/>
              </w:rPr>
            </w:pPr>
            <w:r w:rsidRPr="00801C6D">
              <w:rPr>
                <w:rFonts w:ascii="Arial" w:hAnsi="Arial" w:cs="Arial"/>
                <w:sz w:val="18"/>
                <w:szCs w:val="18"/>
              </w:rPr>
              <w:t>Disubstituted alkyne</w:t>
            </w:r>
          </w:p>
        </w:tc>
        <w:tc>
          <w:tcPr>
            <w:tcW w:w="1980" w:type="dxa"/>
            <w:vAlign w:val="center"/>
          </w:tcPr>
          <w:p w14:paraId="16F2C915" w14:textId="77777777" w:rsidR="00AE2A46" w:rsidRPr="00801C6D" w:rsidRDefault="00AE2A46" w:rsidP="00B46A29">
            <w:pPr>
              <w:jc w:val="both"/>
              <w:rPr>
                <w:rFonts w:ascii="Arial" w:hAnsi="Arial" w:cs="Arial"/>
                <w:sz w:val="18"/>
                <w:szCs w:val="18"/>
              </w:rPr>
            </w:pPr>
            <w:r w:rsidRPr="00801C6D">
              <w:rPr>
                <w:rFonts w:ascii="Arial" w:hAnsi="Arial" w:cs="Arial"/>
                <w:sz w:val="18"/>
                <w:szCs w:val="18"/>
              </w:rPr>
              <w:t>C≡C</w:t>
            </w:r>
          </w:p>
        </w:tc>
        <w:tc>
          <w:tcPr>
            <w:tcW w:w="1701" w:type="dxa"/>
            <w:vAlign w:val="center"/>
          </w:tcPr>
          <w:p w14:paraId="7B18EF1C" w14:textId="77777777" w:rsidR="00AE2A46" w:rsidRPr="00801C6D" w:rsidRDefault="00AE2A46" w:rsidP="00B46A29">
            <w:pPr>
              <w:jc w:val="both"/>
              <w:rPr>
                <w:rFonts w:ascii="Arial" w:hAnsi="Arial" w:cs="Arial"/>
                <w:sz w:val="18"/>
                <w:szCs w:val="18"/>
              </w:rPr>
            </w:pPr>
            <w:r w:rsidRPr="00801C6D">
              <w:rPr>
                <w:rFonts w:ascii="Arial" w:hAnsi="Arial" w:cs="Arial"/>
                <w:sz w:val="18"/>
                <w:szCs w:val="18"/>
              </w:rPr>
              <w:t>Stretching</w:t>
            </w:r>
          </w:p>
        </w:tc>
      </w:tr>
      <w:tr w:rsidR="00AE2A46" w:rsidRPr="00801C6D" w14:paraId="4597BCF6" w14:textId="77777777" w:rsidTr="00B46A29">
        <w:trPr>
          <w:jc w:val="center"/>
        </w:trPr>
        <w:tc>
          <w:tcPr>
            <w:tcW w:w="1701" w:type="dxa"/>
            <w:vAlign w:val="center"/>
          </w:tcPr>
          <w:p w14:paraId="5DE9C454" w14:textId="77777777" w:rsidR="00AE2A46" w:rsidRPr="00801C6D" w:rsidRDefault="00AE2A46" w:rsidP="00B46A29">
            <w:pPr>
              <w:jc w:val="both"/>
              <w:rPr>
                <w:rFonts w:ascii="Arial" w:hAnsi="Arial" w:cs="Arial"/>
                <w:sz w:val="18"/>
                <w:szCs w:val="18"/>
              </w:rPr>
            </w:pPr>
            <w:r w:rsidRPr="00801C6D">
              <w:rPr>
                <w:rFonts w:ascii="Arial" w:hAnsi="Arial" w:cs="Arial"/>
                <w:sz w:val="18"/>
                <w:szCs w:val="18"/>
              </w:rPr>
              <w:t>2158</w:t>
            </w:r>
          </w:p>
        </w:tc>
        <w:tc>
          <w:tcPr>
            <w:tcW w:w="2410" w:type="dxa"/>
            <w:vAlign w:val="center"/>
          </w:tcPr>
          <w:p w14:paraId="6C1DA806" w14:textId="77777777" w:rsidR="00AE2A46" w:rsidRPr="00801C6D" w:rsidRDefault="00AE2A46" w:rsidP="00B46A29">
            <w:pPr>
              <w:jc w:val="both"/>
              <w:rPr>
                <w:rFonts w:ascii="Arial" w:hAnsi="Arial" w:cs="Arial"/>
                <w:sz w:val="18"/>
                <w:szCs w:val="18"/>
              </w:rPr>
            </w:pPr>
            <w:r w:rsidRPr="00801C6D">
              <w:rPr>
                <w:rFonts w:ascii="Arial" w:hAnsi="Arial" w:cs="Arial"/>
                <w:sz w:val="18"/>
                <w:szCs w:val="18"/>
              </w:rPr>
              <w:t>Thiocyanate, azide</w:t>
            </w:r>
          </w:p>
        </w:tc>
        <w:tc>
          <w:tcPr>
            <w:tcW w:w="1980" w:type="dxa"/>
            <w:vAlign w:val="center"/>
          </w:tcPr>
          <w:p w14:paraId="48C3E265" w14:textId="77777777" w:rsidR="00AE2A46" w:rsidRPr="00801C6D" w:rsidRDefault="00AE2A46" w:rsidP="00B46A29">
            <w:pPr>
              <w:jc w:val="both"/>
              <w:rPr>
                <w:rFonts w:ascii="Arial" w:hAnsi="Arial" w:cs="Arial"/>
                <w:sz w:val="18"/>
                <w:szCs w:val="18"/>
              </w:rPr>
            </w:pPr>
            <w:r w:rsidRPr="00801C6D">
              <w:rPr>
                <w:rFonts w:ascii="Arial" w:hAnsi="Arial" w:cs="Arial"/>
                <w:sz w:val="18"/>
                <w:szCs w:val="18"/>
              </w:rPr>
              <w:t>S-C≡N</w:t>
            </w:r>
          </w:p>
          <w:p w14:paraId="1DD10C0B" w14:textId="77777777" w:rsidR="00AE2A46" w:rsidRPr="00801C6D" w:rsidRDefault="00AE2A46" w:rsidP="00B46A29">
            <w:pPr>
              <w:jc w:val="both"/>
              <w:rPr>
                <w:rFonts w:ascii="Arial" w:hAnsi="Arial" w:cs="Arial"/>
                <w:sz w:val="18"/>
                <w:szCs w:val="18"/>
              </w:rPr>
            </w:pPr>
            <w:r w:rsidRPr="00801C6D">
              <w:rPr>
                <w:rFonts w:ascii="Arial" w:hAnsi="Arial" w:cs="Arial"/>
                <w:sz w:val="18"/>
                <w:szCs w:val="18"/>
              </w:rPr>
              <w:t>N=N=N</w:t>
            </w:r>
          </w:p>
        </w:tc>
        <w:tc>
          <w:tcPr>
            <w:tcW w:w="1701" w:type="dxa"/>
            <w:vAlign w:val="center"/>
          </w:tcPr>
          <w:p w14:paraId="77C7C32E" w14:textId="77777777" w:rsidR="00AE2A46" w:rsidRPr="00801C6D" w:rsidRDefault="00AE2A46" w:rsidP="00B46A29">
            <w:pPr>
              <w:jc w:val="both"/>
              <w:rPr>
                <w:rFonts w:ascii="Arial" w:hAnsi="Arial" w:cs="Arial"/>
                <w:sz w:val="18"/>
                <w:szCs w:val="18"/>
              </w:rPr>
            </w:pPr>
            <w:r w:rsidRPr="00801C6D">
              <w:rPr>
                <w:rFonts w:ascii="Arial" w:hAnsi="Arial" w:cs="Arial"/>
                <w:sz w:val="18"/>
                <w:szCs w:val="18"/>
              </w:rPr>
              <w:t>Stretching</w:t>
            </w:r>
          </w:p>
        </w:tc>
      </w:tr>
      <w:tr w:rsidR="00AE2A46" w:rsidRPr="00801C6D" w14:paraId="5C6D472A" w14:textId="77777777" w:rsidTr="00B46A29">
        <w:trPr>
          <w:jc w:val="center"/>
        </w:trPr>
        <w:tc>
          <w:tcPr>
            <w:tcW w:w="1701" w:type="dxa"/>
            <w:vAlign w:val="center"/>
          </w:tcPr>
          <w:p w14:paraId="69390FF1" w14:textId="77777777" w:rsidR="00AE2A46" w:rsidRPr="00801C6D" w:rsidRDefault="00AE2A46" w:rsidP="00B46A29">
            <w:pPr>
              <w:jc w:val="both"/>
              <w:rPr>
                <w:rFonts w:ascii="Arial" w:hAnsi="Arial" w:cs="Arial"/>
                <w:sz w:val="18"/>
                <w:szCs w:val="18"/>
              </w:rPr>
            </w:pPr>
            <w:r w:rsidRPr="00801C6D">
              <w:rPr>
                <w:rFonts w:ascii="Arial" w:hAnsi="Arial" w:cs="Arial"/>
                <w:sz w:val="18"/>
                <w:szCs w:val="18"/>
              </w:rPr>
              <w:t>1636</w:t>
            </w:r>
          </w:p>
        </w:tc>
        <w:tc>
          <w:tcPr>
            <w:tcW w:w="2410" w:type="dxa"/>
            <w:vAlign w:val="center"/>
          </w:tcPr>
          <w:p w14:paraId="4D2583F1" w14:textId="77777777" w:rsidR="00AE2A46" w:rsidRPr="00801C6D" w:rsidRDefault="00AE2A46" w:rsidP="00B46A29">
            <w:pPr>
              <w:jc w:val="both"/>
              <w:rPr>
                <w:rFonts w:ascii="Arial" w:hAnsi="Arial" w:cs="Arial"/>
                <w:sz w:val="18"/>
                <w:szCs w:val="18"/>
              </w:rPr>
            </w:pPr>
            <w:r w:rsidRPr="00801C6D">
              <w:rPr>
                <w:rFonts w:ascii="Arial" w:hAnsi="Arial" w:cs="Arial"/>
                <w:sz w:val="18"/>
                <w:szCs w:val="18"/>
              </w:rPr>
              <w:t>Alkene, amine</w:t>
            </w:r>
          </w:p>
        </w:tc>
        <w:tc>
          <w:tcPr>
            <w:tcW w:w="1980" w:type="dxa"/>
            <w:vAlign w:val="center"/>
          </w:tcPr>
          <w:p w14:paraId="334383E7" w14:textId="77777777" w:rsidR="00AE2A46" w:rsidRPr="00801C6D" w:rsidRDefault="00AE2A46" w:rsidP="00B46A29">
            <w:pPr>
              <w:jc w:val="both"/>
              <w:rPr>
                <w:rFonts w:ascii="Arial" w:hAnsi="Arial" w:cs="Arial"/>
                <w:sz w:val="18"/>
                <w:szCs w:val="18"/>
              </w:rPr>
            </w:pPr>
            <w:r w:rsidRPr="00801C6D">
              <w:rPr>
                <w:rFonts w:ascii="Arial" w:hAnsi="Arial" w:cs="Arial"/>
                <w:sz w:val="18"/>
                <w:szCs w:val="18"/>
              </w:rPr>
              <w:t>C=C</w:t>
            </w:r>
          </w:p>
          <w:p w14:paraId="4027F61B" w14:textId="77777777" w:rsidR="00AE2A46" w:rsidRPr="00801C6D" w:rsidRDefault="00AE2A46" w:rsidP="00B46A29">
            <w:pPr>
              <w:jc w:val="both"/>
              <w:rPr>
                <w:rFonts w:ascii="Arial" w:hAnsi="Arial" w:cs="Arial"/>
                <w:sz w:val="18"/>
                <w:szCs w:val="18"/>
              </w:rPr>
            </w:pPr>
            <w:r w:rsidRPr="00801C6D">
              <w:rPr>
                <w:rFonts w:ascii="Arial" w:hAnsi="Arial" w:cs="Arial"/>
                <w:sz w:val="18"/>
                <w:szCs w:val="18"/>
              </w:rPr>
              <w:t>N-H</w:t>
            </w:r>
          </w:p>
        </w:tc>
        <w:tc>
          <w:tcPr>
            <w:tcW w:w="1701" w:type="dxa"/>
            <w:vAlign w:val="center"/>
          </w:tcPr>
          <w:p w14:paraId="581944B2" w14:textId="77777777" w:rsidR="00AE2A46" w:rsidRPr="00801C6D" w:rsidRDefault="00AE2A46" w:rsidP="00B46A29">
            <w:pPr>
              <w:jc w:val="both"/>
              <w:rPr>
                <w:rFonts w:ascii="Arial" w:hAnsi="Arial" w:cs="Arial"/>
                <w:sz w:val="18"/>
                <w:szCs w:val="18"/>
              </w:rPr>
            </w:pPr>
            <w:r w:rsidRPr="00801C6D">
              <w:rPr>
                <w:rFonts w:ascii="Arial" w:hAnsi="Arial" w:cs="Arial"/>
                <w:sz w:val="18"/>
                <w:szCs w:val="18"/>
              </w:rPr>
              <w:t>Stretching, bending</w:t>
            </w:r>
          </w:p>
        </w:tc>
      </w:tr>
      <w:tr w:rsidR="00AE2A46" w:rsidRPr="00801C6D" w14:paraId="434BDB21" w14:textId="77777777" w:rsidTr="00B46A29">
        <w:trPr>
          <w:jc w:val="center"/>
        </w:trPr>
        <w:tc>
          <w:tcPr>
            <w:tcW w:w="1701" w:type="dxa"/>
            <w:vAlign w:val="center"/>
          </w:tcPr>
          <w:p w14:paraId="675002AD" w14:textId="77777777" w:rsidR="00AE2A46" w:rsidRPr="00801C6D" w:rsidRDefault="00AE2A46" w:rsidP="00B46A29">
            <w:pPr>
              <w:jc w:val="both"/>
              <w:rPr>
                <w:rFonts w:ascii="Arial" w:hAnsi="Arial" w:cs="Arial"/>
                <w:sz w:val="18"/>
                <w:szCs w:val="18"/>
              </w:rPr>
            </w:pPr>
            <w:r w:rsidRPr="00801C6D">
              <w:rPr>
                <w:rFonts w:ascii="Arial" w:hAnsi="Arial" w:cs="Arial"/>
                <w:sz w:val="18"/>
                <w:szCs w:val="18"/>
              </w:rPr>
              <w:t>1041</w:t>
            </w:r>
          </w:p>
        </w:tc>
        <w:tc>
          <w:tcPr>
            <w:tcW w:w="2410" w:type="dxa"/>
            <w:vAlign w:val="center"/>
          </w:tcPr>
          <w:p w14:paraId="0383A0AF" w14:textId="77777777" w:rsidR="00AE2A46" w:rsidRPr="00801C6D" w:rsidRDefault="00AE2A46" w:rsidP="00B46A29">
            <w:pPr>
              <w:jc w:val="both"/>
              <w:rPr>
                <w:rFonts w:ascii="Arial" w:hAnsi="Arial" w:cs="Arial"/>
                <w:sz w:val="18"/>
                <w:szCs w:val="18"/>
              </w:rPr>
            </w:pPr>
            <w:r w:rsidRPr="00801C6D">
              <w:rPr>
                <w:rFonts w:ascii="Arial" w:hAnsi="Arial" w:cs="Arial"/>
                <w:sz w:val="18"/>
                <w:szCs w:val="18"/>
              </w:rPr>
              <w:t>Fluoro compound, amine, sulfoxide, anhydride</w:t>
            </w:r>
          </w:p>
        </w:tc>
        <w:tc>
          <w:tcPr>
            <w:tcW w:w="1980" w:type="dxa"/>
            <w:vAlign w:val="center"/>
          </w:tcPr>
          <w:p w14:paraId="6BB81A63" w14:textId="77777777" w:rsidR="00AE2A46" w:rsidRPr="00801C6D" w:rsidRDefault="00AE2A46" w:rsidP="00B46A29">
            <w:pPr>
              <w:jc w:val="both"/>
              <w:rPr>
                <w:rFonts w:ascii="Arial" w:hAnsi="Arial" w:cs="Arial"/>
                <w:sz w:val="18"/>
                <w:szCs w:val="18"/>
              </w:rPr>
            </w:pPr>
            <w:r w:rsidRPr="00801C6D">
              <w:rPr>
                <w:rFonts w:ascii="Arial" w:hAnsi="Arial" w:cs="Arial"/>
                <w:sz w:val="18"/>
                <w:szCs w:val="18"/>
              </w:rPr>
              <w:t>C-F</w:t>
            </w:r>
          </w:p>
          <w:p w14:paraId="10D92661" w14:textId="77777777" w:rsidR="00AE2A46" w:rsidRPr="00801C6D" w:rsidRDefault="00AE2A46" w:rsidP="00B46A29">
            <w:pPr>
              <w:jc w:val="both"/>
              <w:rPr>
                <w:rFonts w:ascii="Arial" w:hAnsi="Arial" w:cs="Arial"/>
                <w:sz w:val="18"/>
                <w:szCs w:val="18"/>
              </w:rPr>
            </w:pPr>
            <w:r w:rsidRPr="00801C6D">
              <w:rPr>
                <w:rFonts w:ascii="Arial" w:hAnsi="Arial" w:cs="Arial"/>
                <w:sz w:val="18"/>
                <w:szCs w:val="18"/>
              </w:rPr>
              <w:t>C-N</w:t>
            </w:r>
          </w:p>
          <w:p w14:paraId="75A2059E" w14:textId="77777777" w:rsidR="00AE2A46" w:rsidRPr="00801C6D" w:rsidRDefault="00AE2A46" w:rsidP="00B46A29">
            <w:pPr>
              <w:jc w:val="both"/>
              <w:rPr>
                <w:rFonts w:ascii="Arial" w:hAnsi="Arial" w:cs="Arial"/>
                <w:sz w:val="18"/>
                <w:szCs w:val="18"/>
              </w:rPr>
            </w:pPr>
            <w:r w:rsidRPr="00801C6D">
              <w:rPr>
                <w:rFonts w:ascii="Arial" w:hAnsi="Arial" w:cs="Arial"/>
                <w:sz w:val="18"/>
                <w:szCs w:val="18"/>
              </w:rPr>
              <w:t>S=O</w:t>
            </w:r>
          </w:p>
          <w:p w14:paraId="63BE68F2" w14:textId="77777777" w:rsidR="00AE2A46" w:rsidRPr="00801C6D" w:rsidRDefault="00AE2A46" w:rsidP="00B46A29">
            <w:pPr>
              <w:jc w:val="both"/>
              <w:rPr>
                <w:rFonts w:ascii="Arial" w:hAnsi="Arial" w:cs="Arial"/>
                <w:sz w:val="18"/>
                <w:szCs w:val="18"/>
              </w:rPr>
            </w:pPr>
            <w:r w:rsidRPr="00801C6D">
              <w:rPr>
                <w:rFonts w:ascii="Arial" w:hAnsi="Arial" w:cs="Arial"/>
                <w:sz w:val="18"/>
                <w:szCs w:val="18"/>
              </w:rPr>
              <w:t>CO-O-CO</w:t>
            </w:r>
          </w:p>
        </w:tc>
        <w:tc>
          <w:tcPr>
            <w:tcW w:w="1701" w:type="dxa"/>
            <w:vAlign w:val="center"/>
          </w:tcPr>
          <w:p w14:paraId="1ACCF125" w14:textId="77777777" w:rsidR="00AE2A46" w:rsidRPr="00801C6D" w:rsidRDefault="00AE2A46" w:rsidP="00B46A29">
            <w:pPr>
              <w:jc w:val="both"/>
              <w:rPr>
                <w:rFonts w:ascii="Arial" w:hAnsi="Arial" w:cs="Arial"/>
                <w:sz w:val="18"/>
                <w:szCs w:val="18"/>
              </w:rPr>
            </w:pPr>
            <w:r w:rsidRPr="00801C6D">
              <w:rPr>
                <w:rFonts w:ascii="Arial" w:hAnsi="Arial" w:cs="Arial"/>
                <w:sz w:val="18"/>
                <w:szCs w:val="18"/>
              </w:rPr>
              <w:t>Stretching</w:t>
            </w:r>
          </w:p>
        </w:tc>
      </w:tr>
    </w:tbl>
    <w:p w14:paraId="50224DCA" w14:textId="77777777" w:rsidR="00AE2A46" w:rsidRPr="00801C6D" w:rsidRDefault="00AE2A46" w:rsidP="00AE2A46">
      <w:pPr>
        <w:spacing w:after="120"/>
        <w:jc w:val="both"/>
        <w:rPr>
          <w:rFonts w:ascii="Arial" w:hAnsi="Arial" w:cs="Arial"/>
          <w:i/>
          <w:iCs/>
          <w:sz w:val="18"/>
          <w:szCs w:val="18"/>
        </w:rPr>
      </w:pPr>
      <w:r w:rsidRPr="00801C6D">
        <w:rPr>
          <w:rFonts w:ascii="Arial" w:hAnsi="Arial" w:cs="Arial"/>
          <w:sz w:val="20"/>
          <w:szCs w:val="20"/>
        </w:rPr>
        <w:tab/>
      </w:r>
      <w:r w:rsidRPr="00801C6D">
        <w:rPr>
          <w:rFonts w:ascii="Arial" w:hAnsi="Arial" w:cs="Arial"/>
          <w:i/>
          <w:iCs/>
          <w:sz w:val="18"/>
          <w:szCs w:val="18"/>
        </w:rPr>
        <w:t>C- carbon, O-oxygen, N-nitrogen, H-hydrogen, S-sulfur, F-fluorine</w:t>
      </w:r>
    </w:p>
    <w:p w14:paraId="4F0F1F31" w14:textId="77777777" w:rsidR="00AE2A46" w:rsidRPr="00801C6D" w:rsidRDefault="00AE2A46" w:rsidP="00AE2A46">
      <w:pPr>
        <w:spacing w:after="120"/>
        <w:jc w:val="center"/>
        <w:rPr>
          <w:rFonts w:ascii="Arial" w:hAnsi="Arial" w:cs="Arial"/>
          <w:i/>
          <w:iCs/>
          <w:sz w:val="20"/>
          <w:szCs w:val="20"/>
        </w:rPr>
      </w:pPr>
      <w:r w:rsidRPr="00801C6D">
        <w:rPr>
          <w:rFonts w:ascii="Arial" w:hAnsi="Arial" w:cs="Arial"/>
          <w:b/>
          <w:bCs/>
          <w:i/>
          <w:iCs/>
          <w:sz w:val="20"/>
          <w:szCs w:val="20"/>
        </w:rPr>
        <w:t>Table 7:</w:t>
      </w:r>
      <w:r w:rsidRPr="00801C6D">
        <w:rPr>
          <w:rFonts w:ascii="Arial" w:hAnsi="Arial" w:cs="Arial"/>
          <w:i/>
          <w:iCs/>
          <w:sz w:val="20"/>
          <w:szCs w:val="20"/>
        </w:rPr>
        <w:t xml:space="preserve"> Classification of The Wavenumber of F3</w:t>
      </w:r>
    </w:p>
    <w:tbl>
      <w:tblPr>
        <w:tblStyle w:val="TableGrid"/>
        <w:tblW w:w="0" w:type="auto"/>
        <w:jc w:val="center"/>
        <w:tblLook w:val="04A0" w:firstRow="1" w:lastRow="0" w:firstColumn="1" w:lastColumn="0" w:noHBand="0" w:noVBand="1"/>
      </w:tblPr>
      <w:tblGrid>
        <w:gridCol w:w="1701"/>
        <w:gridCol w:w="2410"/>
        <w:gridCol w:w="1701"/>
        <w:gridCol w:w="1667"/>
      </w:tblGrid>
      <w:tr w:rsidR="00AE2A46" w:rsidRPr="00801C6D" w14:paraId="61038C13" w14:textId="77777777" w:rsidTr="00B46A29">
        <w:trPr>
          <w:jc w:val="center"/>
        </w:trPr>
        <w:tc>
          <w:tcPr>
            <w:tcW w:w="1701" w:type="dxa"/>
            <w:vAlign w:val="center"/>
          </w:tcPr>
          <w:p w14:paraId="122C685B" w14:textId="77777777" w:rsidR="00AE2A46" w:rsidRPr="00801C6D" w:rsidRDefault="00AE2A46" w:rsidP="00B46A29">
            <w:pPr>
              <w:jc w:val="both"/>
              <w:rPr>
                <w:rFonts w:ascii="Arial" w:hAnsi="Arial" w:cs="Arial"/>
                <w:b/>
                <w:bCs/>
                <w:sz w:val="18"/>
                <w:szCs w:val="18"/>
              </w:rPr>
            </w:pPr>
            <w:r w:rsidRPr="00801C6D">
              <w:rPr>
                <w:rFonts w:ascii="Arial" w:hAnsi="Arial" w:cs="Arial"/>
                <w:b/>
                <w:bCs/>
                <w:sz w:val="18"/>
                <w:szCs w:val="18"/>
              </w:rPr>
              <w:t>Wavenumber (cm-1)</w:t>
            </w:r>
          </w:p>
        </w:tc>
        <w:tc>
          <w:tcPr>
            <w:tcW w:w="2410" w:type="dxa"/>
            <w:vAlign w:val="center"/>
          </w:tcPr>
          <w:p w14:paraId="4CAC1E75" w14:textId="77777777" w:rsidR="00AE2A46" w:rsidRPr="00801C6D" w:rsidRDefault="00AE2A46" w:rsidP="00B46A29">
            <w:pPr>
              <w:jc w:val="center"/>
              <w:rPr>
                <w:rFonts w:ascii="Arial" w:hAnsi="Arial" w:cs="Arial"/>
                <w:b/>
                <w:bCs/>
                <w:sz w:val="18"/>
                <w:szCs w:val="18"/>
              </w:rPr>
            </w:pPr>
            <w:r w:rsidRPr="00801C6D">
              <w:rPr>
                <w:rFonts w:ascii="Arial" w:hAnsi="Arial" w:cs="Arial"/>
                <w:b/>
                <w:bCs/>
                <w:sz w:val="18"/>
                <w:szCs w:val="18"/>
              </w:rPr>
              <w:t>Compound Class</w:t>
            </w:r>
          </w:p>
        </w:tc>
        <w:tc>
          <w:tcPr>
            <w:tcW w:w="1701" w:type="dxa"/>
            <w:vAlign w:val="center"/>
          </w:tcPr>
          <w:p w14:paraId="02195F93" w14:textId="77777777" w:rsidR="00AE2A46" w:rsidRPr="00801C6D" w:rsidRDefault="00AE2A46" w:rsidP="00B46A29">
            <w:pPr>
              <w:jc w:val="center"/>
              <w:rPr>
                <w:rFonts w:ascii="Arial" w:hAnsi="Arial" w:cs="Arial"/>
                <w:b/>
                <w:bCs/>
                <w:sz w:val="18"/>
                <w:szCs w:val="18"/>
              </w:rPr>
            </w:pPr>
            <w:r w:rsidRPr="00801C6D">
              <w:rPr>
                <w:rFonts w:ascii="Arial" w:hAnsi="Arial" w:cs="Arial"/>
                <w:b/>
                <w:bCs/>
                <w:sz w:val="18"/>
                <w:szCs w:val="18"/>
              </w:rPr>
              <w:t>Functional Group</w:t>
            </w:r>
          </w:p>
        </w:tc>
        <w:tc>
          <w:tcPr>
            <w:tcW w:w="1667" w:type="dxa"/>
            <w:vAlign w:val="center"/>
          </w:tcPr>
          <w:p w14:paraId="2274418D" w14:textId="77777777" w:rsidR="00AE2A46" w:rsidRPr="00801C6D" w:rsidRDefault="00AE2A46" w:rsidP="00B46A29">
            <w:pPr>
              <w:jc w:val="center"/>
              <w:rPr>
                <w:rFonts w:ascii="Arial" w:hAnsi="Arial" w:cs="Arial"/>
                <w:b/>
                <w:bCs/>
                <w:sz w:val="18"/>
                <w:szCs w:val="18"/>
              </w:rPr>
            </w:pPr>
            <w:r w:rsidRPr="00801C6D">
              <w:rPr>
                <w:rFonts w:ascii="Arial" w:hAnsi="Arial" w:cs="Arial"/>
                <w:b/>
                <w:bCs/>
                <w:sz w:val="18"/>
                <w:szCs w:val="18"/>
              </w:rPr>
              <w:t>Vibration Mode</w:t>
            </w:r>
          </w:p>
        </w:tc>
      </w:tr>
      <w:tr w:rsidR="00AE2A46" w:rsidRPr="00801C6D" w14:paraId="6F33F111" w14:textId="77777777" w:rsidTr="00B46A29">
        <w:trPr>
          <w:jc w:val="center"/>
        </w:trPr>
        <w:tc>
          <w:tcPr>
            <w:tcW w:w="1701" w:type="dxa"/>
            <w:vAlign w:val="center"/>
          </w:tcPr>
          <w:p w14:paraId="60219B2E" w14:textId="77777777" w:rsidR="00AE2A46" w:rsidRPr="00801C6D" w:rsidRDefault="00AE2A46" w:rsidP="00B46A29">
            <w:pPr>
              <w:jc w:val="both"/>
              <w:rPr>
                <w:rFonts w:ascii="Arial" w:hAnsi="Arial" w:cs="Arial"/>
                <w:sz w:val="18"/>
                <w:szCs w:val="18"/>
              </w:rPr>
            </w:pPr>
            <w:r w:rsidRPr="00801C6D">
              <w:rPr>
                <w:rFonts w:ascii="Arial" w:hAnsi="Arial" w:cs="Arial"/>
                <w:sz w:val="18"/>
                <w:szCs w:val="18"/>
              </w:rPr>
              <w:t>3272</w:t>
            </w:r>
          </w:p>
        </w:tc>
        <w:tc>
          <w:tcPr>
            <w:tcW w:w="2410" w:type="dxa"/>
            <w:vAlign w:val="center"/>
          </w:tcPr>
          <w:p w14:paraId="044B0B3B" w14:textId="77777777" w:rsidR="00AE2A46" w:rsidRPr="00801C6D" w:rsidRDefault="00AE2A46" w:rsidP="00B46A29">
            <w:pPr>
              <w:jc w:val="center"/>
              <w:rPr>
                <w:rFonts w:ascii="Arial" w:hAnsi="Arial" w:cs="Arial"/>
                <w:sz w:val="18"/>
                <w:szCs w:val="18"/>
              </w:rPr>
            </w:pPr>
            <w:r w:rsidRPr="00801C6D">
              <w:rPr>
                <w:rFonts w:ascii="Arial" w:hAnsi="Arial" w:cs="Arial"/>
                <w:sz w:val="18"/>
                <w:szCs w:val="18"/>
              </w:rPr>
              <w:t>Intermolecularly bonded alcohol, carboxylic acid</w:t>
            </w:r>
          </w:p>
        </w:tc>
        <w:tc>
          <w:tcPr>
            <w:tcW w:w="1701" w:type="dxa"/>
            <w:vAlign w:val="center"/>
          </w:tcPr>
          <w:p w14:paraId="4DFA8FE7" w14:textId="77777777" w:rsidR="00AE2A46" w:rsidRPr="00801C6D" w:rsidRDefault="00AE2A46" w:rsidP="00B46A29">
            <w:pPr>
              <w:jc w:val="center"/>
              <w:rPr>
                <w:rFonts w:ascii="Arial" w:hAnsi="Arial" w:cs="Arial"/>
                <w:sz w:val="18"/>
                <w:szCs w:val="18"/>
              </w:rPr>
            </w:pPr>
            <w:r w:rsidRPr="00801C6D">
              <w:rPr>
                <w:rFonts w:ascii="Arial" w:hAnsi="Arial" w:cs="Arial"/>
                <w:sz w:val="18"/>
                <w:szCs w:val="18"/>
              </w:rPr>
              <w:t>O-H</w:t>
            </w:r>
          </w:p>
        </w:tc>
        <w:tc>
          <w:tcPr>
            <w:tcW w:w="1667" w:type="dxa"/>
            <w:vAlign w:val="center"/>
          </w:tcPr>
          <w:p w14:paraId="206F76F9" w14:textId="77777777" w:rsidR="00AE2A46" w:rsidRPr="00801C6D" w:rsidRDefault="00AE2A46" w:rsidP="00B46A29">
            <w:pPr>
              <w:jc w:val="center"/>
              <w:rPr>
                <w:rFonts w:ascii="Arial" w:hAnsi="Arial" w:cs="Arial"/>
                <w:sz w:val="18"/>
                <w:szCs w:val="18"/>
              </w:rPr>
            </w:pPr>
            <w:r w:rsidRPr="00801C6D">
              <w:rPr>
                <w:rFonts w:ascii="Arial" w:hAnsi="Arial" w:cs="Arial"/>
                <w:sz w:val="18"/>
                <w:szCs w:val="18"/>
              </w:rPr>
              <w:t>Stretching</w:t>
            </w:r>
          </w:p>
        </w:tc>
      </w:tr>
      <w:tr w:rsidR="00AE2A46" w:rsidRPr="00801C6D" w14:paraId="4A726E5E" w14:textId="77777777" w:rsidTr="00B46A29">
        <w:trPr>
          <w:trHeight w:val="385"/>
          <w:jc w:val="center"/>
        </w:trPr>
        <w:tc>
          <w:tcPr>
            <w:tcW w:w="1701" w:type="dxa"/>
            <w:vAlign w:val="center"/>
          </w:tcPr>
          <w:p w14:paraId="36B40560" w14:textId="77777777" w:rsidR="00AE2A46" w:rsidRPr="00801C6D" w:rsidRDefault="00AE2A46" w:rsidP="00B46A29">
            <w:pPr>
              <w:jc w:val="both"/>
              <w:rPr>
                <w:rFonts w:ascii="Arial" w:hAnsi="Arial" w:cs="Arial"/>
                <w:sz w:val="18"/>
                <w:szCs w:val="18"/>
              </w:rPr>
            </w:pPr>
            <w:r w:rsidRPr="00801C6D">
              <w:rPr>
                <w:rFonts w:ascii="Arial" w:hAnsi="Arial" w:cs="Arial"/>
                <w:sz w:val="18"/>
                <w:szCs w:val="18"/>
              </w:rPr>
              <w:t>2170</w:t>
            </w:r>
          </w:p>
        </w:tc>
        <w:tc>
          <w:tcPr>
            <w:tcW w:w="2410" w:type="dxa"/>
            <w:vAlign w:val="center"/>
          </w:tcPr>
          <w:p w14:paraId="333EF271" w14:textId="77777777" w:rsidR="00AE2A46" w:rsidRPr="00801C6D" w:rsidRDefault="00AE2A46" w:rsidP="00B46A29">
            <w:pPr>
              <w:jc w:val="center"/>
              <w:rPr>
                <w:rFonts w:ascii="Arial" w:hAnsi="Arial" w:cs="Arial"/>
                <w:sz w:val="18"/>
                <w:szCs w:val="18"/>
              </w:rPr>
            </w:pPr>
            <w:r w:rsidRPr="00801C6D">
              <w:rPr>
                <w:rFonts w:ascii="Arial" w:hAnsi="Arial" w:cs="Arial"/>
                <w:sz w:val="18"/>
                <w:szCs w:val="18"/>
              </w:rPr>
              <w:t>Thiocyanate</w:t>
            </w:r>
          </w:p>
        </w:tc>
        <w:tc>
          <w:tcPr>
            <w:tcW w:w="1701" w:type="dxa"/>
            <w:vAlign w:val="center"/>
          </w:tcPr>
          <w:p w14:paraId="10E7A63B" w14:textId="77777777" w:rsidR="00AE2A46" w:rsidRPr="00801C6D" w:rsidRDefault="00AE2A46" w:rsidP="00B46A29">
            <w:pPr>
              <w:jc w:val="center"/>
              <w:rPr>
                <w:rFonts w:ascii="Arial" w:hAnsi="Arial" w:cs="Arial"/>
                <w:sz w:val="18"/>
                <w:szCs w:val="18"/>
              </w:rPr>
            </w:pPr>
            <w:r w:rsidRPr="00801C6D">
              <w:rPr>
                <w:rFonts w:ascii="Arial" w:hAnsi="Arial" w:cs="Arial"/>
                <w:sz w:val="18"/>
                <w:szCs w:val="18"/>
              </w:rPr>
              <w:t>S-C≡N</w:t>
            </w:r>
          </w:p>
        </w:tc>
        <w:tc>
          <w:tcPr>
            <w:tcW w:w="1667" w:type="dxa"/>
            <w:vAlign w:val="center"/>
          </w:tcPr>
          <w:p w14:paraId="21E0DC5C" w14:textId="77777777" w:rsidR="00AE2A46" w:rsidRPr="00801C6D" w:rsidRDefault="00AE2A46" w:rsidP="00B46A29">
            <w:pPr>
              <w:jc w:val="center"/>
              <w:rPr>
                <w:rFonts w:ascii="Arial" w:hAnsi="Arial" w:cs="Arial"/>
                <w:sz w:val="18"/>
                <w:szCs w:val="18"/>
              </w:rPr>
            </w:pPr>
            <w:r w:rsidRPr="00801C6D">
              <w:rPr>
                <w:rFonts w:ascii="Arial" w:hAnsi="Arial" w:cs="Arial"/>
                <w:sz w:val="18"/>
                <w:szCs w:val="18"/>
              </w:rPr>
              <w:t>Stretching</w:t>
            </w:r>
          </w:p>
        </w:tc>
      </w:tr>
      <w:tr w:rsidR="00AE2A46" w:rsidRPr="00801C6D" w14:paraId="34E95BE0" w14:textId="77777777" w:rsidTr="00B46A29">
        <w:trPr>
          <w:jc w:val="center"/>
        </w:trPr>
        <w:tc>
          <w:tcPr>
            <w:tcW w:w="1701" w:type="dxa"/>
            <w:vAlign w:val="center"/>
          </w:tcPr>
          <w:p w14:paraId="2300E7CA" w14:textId="77777777" w:rsidR="00AE2A46" w:rsidRPr="00801C6D" w:rsidRDefault="00AE2A46" w:rsidP="00B46A29">
            <w:pPr>
              <w:jc w:val="both"/>
              <w:rPr>
                <w:rFonts w:ascii="Arial" w:hAnsi="Arial" w:cs="Arial"/>
                <w:sz w:val="18"/>
                <w:szCs w:val="18"/>
              </w:rPr>
            </w:pPr>
            <w:r w:rsidRPr="00801C6D">
              <w:rPr>
                <w:rFonts w:ascii="Arial" w:hAnsi="Arial" w:cs="Arial"/>
                <w:sz w:val="18"/>
                <w:szCs w:val="18"/>
              </w:rPr>
              <w:t>1637</w:t>
            </w:r>
          </w:p>
        </w:tc>
        <w:tc>
          <w:tcPr>
            <w:tcW w:w="2410" w:type="dxa"/>
            <w:vAlign w:val="center"/>
          </w:tcPr>
          <w:p w14:paraId="74C8E97A" w14:textId="77777777" w:rsidR="00AE2A46" w:rsidRPr="00801C6D" w:rsidRDefault="00AE2A46" w:rsidP="00B46A29">
            <w:pPr>
              <w:jc w:val="center"/>
              <w:rPr>
                <w:rFonts w:ascii="Arial" w:hAnsi="Arial" w:cs="Arial"/>
                <w:sz w:val="18"/>
                <w:szCs w:val="18"/>
              </w:rPr>
            </w:pPr>
            <w:r w:rsidRPr="00801C6D">
              <w:rPr>
                <w:rFonts w:ascii="Arial" w:hAnsi="Arial" w:cs="Arial"/>
                <w:sz w:val="18"/>
                <w:szCs w:val="18"/>
              </w:rPr>
              <w:t>Alkene, amine</w:t>
            </w:r>
          </w:p>
        </w:tc>
        <w:tc>
          <w:tcPr>
            <w:tcW w:w="1701" w:type="dxa"/>
            <w:vAlign w:val="center"/>
          </w:tcPr>
          <w:p w14:paraId="5AB1D6E5" w14:textId="77777777" w:rsidR="00AE2A46" w:rsidRPr="00801C6D" w:rsidRDefault="00AE2A46" w:rsidP="00B46A29">
            <w:pPr>
              <w:jc w:val="center"/>
              <w:rPr>
                <w:rFonts w:ascii="Arial" w:hAnsi="Arial" w:cs="Arial"/>
                <w:sz w:val="18"/>
                <w:szCs w:val="18"/>
              </w:rPr>
            </w:pPr>
            <w:r w:rsidRPr="00801C6D">
              <w:rPr>
                <w:rFonts w:ascii="Arial" w:hAnsi="Arial" w:cs="Arial"/>
                <w:sz w:val="18"/>
                <w:szCs w:val="18"/>
              </w:rPr>
              <w:t>C=C</w:t>
            </w:r>
          </w:p>
          <w:p w14:paraId="738DE67B" w14:textId="77777777" w:rsidR="00AE2A46" w:rsidRPr="00801C6D" w:rsidRDefault="00AE2A46" w:rsidP="00B46A29">
            <w:pPr>
              <w:jc w:val="center"/>
              <w:rPr>
                <w:rFonts w:ascii="Arial" w:hAnsi="Arial" w:cs="Arial"/>
                <w:sz w:val="18"/>
                <w:szCs w:val="18"/>
              </w:rPr>
            </w:pPr>
            <w:r w:rsidRPr="00801C6D">
              <w:rPr>
                <w:rFonts w:ascii="Arial" w:hAnsi="Arial" w:cs="Arial"/>
                <w:sz w:val="18"/>
                <w:szCs w:val="18"/>
              </w:rPr>
              <w:t>N-H</w:t>
            </w:r>
          </w:p>
        </w:tc>
        <w:tc>
          <w:tcPr>
            <w:tcW w:w="1667" w:type="dxa"/>
            <w:vAlign w:val="center"/>
          </w:tcPr>
          <w:p w14:paraId="25CFEDFA" w14:textId="77777777" w:rsidR="00AE2A46" w:rsidRPr="00801C6D" w:rsidRDefault="00AE2A46" w:rsidP="00B46A29">
            <w:pPr>
              <w:jc w:val="center"/>
              <w:rPr>
                <w:rFonts w:ascii="Arial" w:hAnsi="Arial" w:cs="Arial"/>
                <w:sz w:val="18"/>
                <w:szCs w:val="18"/>
              </w:rPr>
            </w:pPr>
            <w:r w:rsidRPr="00801C6D">
              <w:rPr>
                <w:rFonts w:ascii="Arial" w:hAnsi="Arial" w:cs="Arial"/>
                <w:sz w:val="18"/>
                <w:szCs w:val="18"/>
              </w:rPr>
              <w:t>Stretching, bending</w:t>
            </w:r>
          </w:p>
        </w:tc>
      </w:tr>
      <w:tr w:rsidR="00AE2A46" w:rsidRPr="00801C6D" w14:paraId="19A6DD89" w14:textId="77777777" w:rsidTr="00B46A29">
        <w:trPr>
          <w:jc w:val="center"/>
        </w:trPr>
        <w:tc>
          <w:tcPr>
            <w:tcW w:w="1701" w:type="dxa"/>
            <w:vAlign w:val="center"/>
          </w:tcPr>
          <w:p w14:paraId="777661DC" w14:textId="77777777" w:rsidR="00AE2A46" w:rsidRPr="00801C6D" w:rsidRDefault="00AE2A46" w:rsidP="00B46A29">
            <w:pPr>
              <w:jc w:val="both"/>
              <w:rPr>
                <w:rFonts w:ascii="Arial" w:hAnsi="Arial" w:cs="Arial"/>
                <w:sz w:val="18"/>
                <w:szCs w:val="18"/>
              </w:rPr>
            </w:pPr>
            <w:r w:rsidRPr="00801C6D">
              <w:rPr>
                <w:rFonts w:ascii="Arial" w:hAnsi="Arial" w:cs="Arial"/>
                <w:sz w:val="18"/>
                <w:szCs w:val="18"/>
              </w:rPr>
              <w:t>1413</w:t>
            </w:r>
          </w:p>
        </w:tc>
        <w:tc>
          <w:tcPr>
            <w:tcW w:w="2410" w:type="dxa"/>
            <w:vAlign w:val="center"/>
          </w:tcPr>
          <w:p w14:paraId="13952BB0" w14:textId="77777777" w:rsidR="00AE2A46" w:rsidRPr="00801C6D" w:rsidRDefault="00AE2A46" w:rsidP="00B46A29">
            <w:pPr>
              <w:jc w:val="center"/>
              <w:rPr>
                <w:rFonts w:ascii="Arial" w:hAnsi="Arial" w:cs="Arial"/>
                <w:sz w:val="18"/>
                <w:szCs w:val="18"/>
              </w:rPr>
            </w:pPr>
            <w:r w:rsidRPr="00801C6D">
              <w:rPr>
                <w:rFonts w:ascii="Arial" w:hAnsi="Arial" w:cs="Arial"/>
                <w:sz w:val="18"/>
                <w:szCs w:val="18"/>
              </w:rPr>
              <w:t>Sulfate, alcohol</w:t>
            </w:r>
          </w:p>
        </w:tc>
        <w:tc>
          <w:tcPr>
            <w:tcW w:w="1701" w:type="dxa"/>
            <w:vAlign w:val="center"/>
          </w:tcPr>
          <w:p w14:paraId="5CB9AEAA" w14:textId="77777777" w:rsidR="00AE2A46" w:rsidRPr="00801C6D" w:rsidRDefault="00AE2A46" w:rsidP="00B46A29">
            <w:pPr>
              <w:jc w:val="center"/>
              <w:rPr>
                <w:rFonts w:ascii="Arial" w:hAnsi="Arial" w:cs="Arial"/>
                <w:sz w:val="18"/>
                <w:szCs w:val="18"/>
              </w:rPr>
            </w:pPr>
            <w:r w:rsidRPr="00801C6D">
              <w:rPr>
                <w:rFonts w:ascii="Arial" w:hAnsi="Arial" w:cs="Arial"/>
                <w:sz w:val="18"/>
                <w:szCs w:val="18"/>
              </w:rPr>
              <w:t>S=O</w:t>
            </w:r>
          </w:p>
          <w:p w14:paraId="5A6EA4A5" w14:textId="77777777" w:rsidR="00AE2A46" w:rsidRPr="00801C6D" w:rsidRDefault="00AE2A46" w:rsidP="00B46A29">
            <w:pPr>
              <w:jc w:val="center"/>
              <w:rPr>
                <w:rFonts w:ascii="Arial" w:hAnsi="Arial" w:cs="Arial"/>
                <w:sz w:val="18"/>
                <w:szCs w:val="18"/>
              </w:rPr>
            </w:pPr>
            <w:r w:rsidRPr="00801C6D">
              <w:rPr>
                <w:rFonts w:ascii="Arial" w:hAnsi="Arial" w:cs="Arial"/>
                <w:sz w:val="18"/>
                <w:szCs w:val="18"/>
              </w:rPr>
              <w:t>O-H</w:t>
            </w:r>
          </w:p>
        </w:tc>
        <w:tc>
          <w:tcPr>
            <w:tcW w:w="1667" w:type="dxa"/>
            <w:vAlign w:val="center"/>
          </w:tcPr>
          <w:p w14:paraId="61AF3591" w14:textId="77777777" w:rsidR="00AE2A46" w:rsidRPr="00801C6D" w:rsidRDefault="00AE2A46" w:rsidP="00B46A29">
            <w:pPr>
              <w:jc w:val="center"/>
              <w:rPr>
                <w:rFonts w:ascii="Arial" w:hAnsi="Arial" w:cs="Arial"/>
                <w:sz w:val="18"/>
                <w:szCs w:val="18"/>
              </w:rPr>
            </w:pPr>
            <w:r w:rsidRPr="00801C6D">
              <w:rPr>
                <w:rFonts w:ascii="Arial" w:hAnsi="Arial" w:cs="Arial"/>
                <w:sz w:val="18"/>
                <w:szCs w:val="18"/>
              </w:rPr>
              <w:t>Stretching, bending</w:t>
            </w:r>
          </w:p>
        </w:tc>
      </w:tr>
      <w:tr w:rsidR="00AE2A46" w:rsidRPr="00801C6D" w14:paraId="39D678CF" w14:textId="77777777" w:rsidTr="00B46A29">
        <w:trPr>
          <w:jc w:val="center"/>
        </w:trPr>
        <w:tc>
          <w:tcPr>
            <w:tcW w:w="1701" w:type="dxa"/>
            <w:vAlign w:val="center"/>
          </w:tcPr>
          <w:p w14:paraId="318D8CCA" w14:textId="77777777" w:rsidR="00AE2A46" w:rsidRPr="00801C6D" w:rsidRDefault="00AE2A46" w:rsidP="00B46A29">
            <w:pPr>
              <w:jc w:val="both"/>
              <w:rPr>
                <w:rFonts w:ascii="Arial" w:hAnsi="Arial" w:cs="Arial"/>
                <w:sz w:val="18"/>
                <w:szCs w:val="18"/>
              </w:rPr>
            </w:pPr>
            <w:r w:rsidRPr="00801C6D">
              <w:rPr>
                <w:rFonts w:ascii="Arial" w:hAnsi="Arial" w:cs="Arial"/>
                <w:sz w:val="18"/>
                <w:szCs w:val="18"/>
              </w:rPr>
              <w:t>1042</w:t>
            </w:r>
          </w:p>
        </w:tc>
        <w:tc>
          <w:tcPr>
            <w:tcW w:w="2410" w:type="dxa"/>
            <w:vAlign w:val="center"/>
          </w:tcPr>
          <w:p w14:paraId="1E5EE7D1" w14:textId="77777777" w:rsidR="00AE2A46" w:rsidRPr="00801C6D" w:rsidRDefault="00AE2A46" w:rsidP="00B46A29">
            <w:pPr>
              <w:jc w:val="center"/>
              <w:rPr>
                <w:rFonts w:ascii="Arial" w:hAnsi="Arial" w:cs="Arial"/>
                <w:sz w:val="18"/>
                <w:szCs w:val="18"/>
              </w:rPr>
            </w:pPr>
            <w:r w:rsidRPr="00801C6D">
              <w:rPr>
                <w:rFonts w:ascii="Arial" w:hAnsi="Arial" w:cs="Arial"/>
                <w:sz w:val="18"/>
                <w:szCs w:val="18"/>
              </w:rPr>
              <w:t>Fluoro compound, amine, sulfoxide, anhydride</w:t>
            </w:r>
          </w:p>
        </w:tc>
        <w:tc>
          <w:tcPr>
            <w:tcW w:w="1701" w:type="dxa"/>
            <w:vAlign w:val="center"/>
          </w:tcPr>
          <w:p w14:paraId="39F00CE0" w14:textId="77777777" w:rsidR="00AE2A46" w:rsidRPr="00801C6D" w:rsidRDefault="00AE2A46" w:rsidP="00B46A29">
            <w:pPr>
              <w:jc w:val="center"/>
              <w:rPr>
                <w:rFonts w:ascii="Arial" w:hAnsi="Arial" w:cs="Arial"/>
                <w:sz w:val="18"/>
                <w:szCs w:val="18"/>
              </w:rPr>
            </w:pPr>
            <w:r w:rsidRPr="00801C6D">
              <w:rPr>
                <w:rFonts w:ascii="Arial" w:hAnsi="Arial" w:cs="Arial"/>
                <w:sz w:val="18"/>
                <w:szCs w:val="18"/>
              </w:rPr>
              <w:t>C-F</w:t>
            </w:r>
          </w:p>
          <w:p w14:paraId="492ABFF2" w14:textId="77777777" w:rsidR="00AE2A46" w:rsidRPr="00801C6D" w:rsidRDefault="00AE2A46" w:rsidP="00B46A29">
            <w:pPr>
              <w:jc w:val="center"/>
              <w:rPr>
                <w:rFonts w:ascii="Arial" w:hAnsi="Arial" w:cs="Arial"/>
                <w:sz w:val="18"/>
                <w:szCs w:val="18"/>
              </w:rPr>
            </w:pPr>
            <w:r w:rsidRPr="00801C6D">
              <w:rPr>
                <w:rFonts w:ascii="Arial" w:hAnsi="Arial" w:cs="Arial"/>
                <w:sz w:val="18"/>
                <w:szCs w:val="18"/>
              </w:rPr>
              <w:t>C-N</w:t>
            </w:r>
          </w:p>
          <w:p w14:paraId="08128733" w14:textId="77777777" w:rsidR="00AE2A46" w:rsidRPr="00801C6D" w:rsidRDefault="00AE2A46" w:rsidP="00B46A29">
            <w:pPr>
              <w:jc w:val="center"/>
              <w:rPr>
                <w:rFonts w:ascii="Arial" w:hAnsi="Arial" w:cs="Arial"/>
                <w:sz w:val="18"/>
                <w:szCs w:val="18"/>
              </w:rPr>
            </w:pPr>
            <w:r w:rsidRPr="00801C6D">
              <w:rPr>
                <w:rFonts w:ascii="Arial" w:hAnsi="Arial" w:cs="Arial"/>
                <w:sz w:val="18"/>
                <w:szCs w:val="18"/>
              </w:rPr>
              <w:t>S=O</w:t>
            </w:r>
          </w:p>
          <w:p w14:paraId="49D972AA" w14:textId="77777777" w:rsidR="00AE2A46" w:rsidRPr="00801C6D" w:rsidRDefault="00AE2A46" w:rsidP="00B46A29">
            <w:pPr>
              <w:jc w:val="center"/>
              <w:rPr>
                <w:rFonts w:ascii="Arial" w:hAnsi="Arial" w:cs="Arial"/>
                <w:sz w:val="18"/>
                <w:szCs w:val="18"/>
              </w:rPr>
            </w:pPr>
            <w:r w:rsidRPr="00801C6D">
              <w:rPr>
                <w:rFonts w:ascii="Arial" w:hAnsi="Arial" w:cs="Arial"/>
                <w:sz w:val="18"/>
                <w:szCs w:val="18"/>
              </w:rPr>
              <w:t>CO-O-CO</w:t>
            </w:r>
          </w:p>
        </w:tc>
        <w:tc>
          <w:tcPr>
            <w:tcW w:w="1667" w:type="dxa"/>
            <w:vAlign w:val="center"/>
          </w:tcPr>
          <w:p w14:paraId="3610B402" w14:textId="77777777" w:rsidR="00AE2A46" w:rsidRPr="00801C6D" w:rsidRDefault="00AE2A46" w:rsidP="00B46A29">
            <w:pPr>
              <w:jc w:val="center"/>
              <w:rPr>
                <w:rFonts w:ascii="Arial" w:hAnsi="Arial" w:cs="Arial"/>
                <w:sz w:val="18"/>
                <w:szCs w:val="18"/>
              </w:rPr>
            </w:pPr>
            <w:r w:rsidRPr="00801C6D">
              <w:rPr>
                <w:rFonts w:ascii="Arial" w:hAnsi="Arial" w:cs="Arial"/>
                <w:sz w:val="18"/>
                <w:szCs w:val="18"/>
              </w:rPr>
              <w:t>Stretching</w:t>
            </w:r>
          </w:p>
        </w:tc>
      </w:tr>
      <w:tr w:rsidR="00AE2A46" w:rsidRPr="00801C6D" w14:paraId="6F9EC86A" w14:textId="77777777" w:rsidTr="00B46A29">
        <w:trPr>
          <w:trHeight w:val="301"/>
          <w:jc w:val="center"/>
        </w:trPr>
        <w:tc>
          <w:tcPr>
            <w:tcW w:w="1701" w:type="dxa"/>
            <w:vAlign w:val="center"/>
          </w:tcPr>
          <w:p w14:paraId="73E56CFF" w14:textId="77777777" w:rsidR="00AE2A46" w:rsidRPr="00801C6D" w:rsidRDefault="00AE2A46" w:rsidP="00B46A29">
            <w:pPr>
              <w:jc w:val="both"/>
              <w:rPr>
                <w:rFonts w:ascii="Arial" w:hAnsi="Arial" w:cs="Arial"/>
                <w:sz w:val="18"/>
                <w:szCs w:val="18"/>
              </w:rPr>
            </w:pPr>
            <w:r w:rsidRPr="00801C6D">
              <w:rPr>
                <w:rFonts w:ascii="Arial" w:hAnsi="Arial" w:cs="Arial"/>
                <w:sz w:val="18"/>
                <w:szCs w:val="18"/>
              </w:rPr>
              <w:t>992</w:t>
            </w:r>
          </w:p>
        </w:tc>
        <w:tc>
          <w:tcPr>
            <w:tcW w:w="2410" w:type="dxa"/>
            <w:vAlign w:val="center"/>
          </w:tcPr>
          <w:p w14:paraId="43935DA2" w14:textId="77777777" w:rsidR="00AE2A46" w:rsidRPr="00801C6D" w:rsidRDefault="00AE2A46" w:rsidP="00B46A29">
            <w:pPr>
              <w:jc w:val="center"/>
              <w:rPr>
                <w:rFonts w:ascii="Arial" w:hAnsi="Arial" w:cs="Arial"/>
                <w:sz w:val="18"/>
                <w:szCs w:val="18"/>
              </w:rPr>
            </w:pPr>
            <w:r w:rsidRPr="00801C6D">
              <w:rPr>
                <w:rFonts w:ascii="Arial" w:hAnsi="Arial" w:cs="Arial"/>
                <w:sz w:val="18"/>
                <w:szCs w:val="18"/>
              </w:rPr>
              <w:t>Monosubstituted alkene</w:t>
            </w:r>
          </w:p>
        </w:tc>
        <w:tc>
          <w:tcPr>
            <w:tcW w:w="1701" w:type="dxa"/>
            <w:vAlign w:val="center"/>
          </w:tcPr>
          <w:p w14:paraId="077BF861" w14:textId="77777777" w:rsidR="00AE2A46" w:rsidRPr="00801C6D" w:rsidRDefault="00AE2A46" w:rsidP="00B46A29">
            <w:pPr>
              <w:jc w:val="center"/>
              <w:rPr>
                <w:rFonts w:ascii="Arial" w:hAnsi="Arial" w:cs="Arial"/>
                <w:sz w:val="18"/>
                <w:szCs w:val="18"/>
              </w:rPr>
            </w:pPr>
            <w:r w:rsidRPr="00801C6D">
              <w:rPr>
                <w:rFonts w:ascii="Arial" w:hAnsi="Arial" w:cs="Arial"/>
                <w:sz w:val="18"/>
                <w:szCs w:val="18"/>
              </w:rPr>
              <w:t>C=C</w:t>
            </w:r>
          </w:p>
        </w:tc>
        <w:tc>
          <w:tcPr>
            <w:tcW w:w="1667" w:type="dxa"/>
            <w:vAlign w:val="center"/>
          </w:tcPr>
          <w:p w14:paraId="39F463A0" w14:textId="77777777" w:rsidR="00AE2A46" w:rsidRPr="00801C6D" w:rsidRDefault="00AE2A46" w:rsidP="00B46A29">
            <w:pPr>
              <w:jc w:val="center"/>
              <w:rPr>
                <w:rFonts w:ascii="Arial" w:hAnsi="Arial" w:cs="Arial"/>
                <w:sz w:val="18"/>
                <w:szCs w:val="18"/>
              </w:rPr>
            </w:pPr>
            <w:r w:rsidRPr="00801C6D">
              <w:rPr>
                <w:rFonts w:ascii="Arial" w:hAnsi="Arial" w:cs="Arial"/>
                <w:sz w:val="18"/>
                <w:szCs w:val="18"/>
              </w:rPr>
              <w:t>Bending</w:t>
            </w:r>
          </w:p>
        </w:tc>
      </w:tr>
    </w:tbl>
    <w:p w14:paraId="397B7BCD" w14:textId="77777777" w:rsidR="00AE2A46" w:rsidRPr="00801C6D" w:rsidRDefault="00AE2A46" w:rsidP="00AE2A46">
      <w:pPr>
        <w:spacing w:after="120"/>
        <w:jc w:val="both"/>
        <w:rPr>
          <w:rFonts w:ascii="Arial" w:hAnsi="Arial" w:cs="Arial"/>
          <w:i/>
          <w:iCs/>
          <w:sz w:val="18"/>
          <w:szCs w:val="18"/>
        </w:rPr>
      </w:pPr>
      <w:r w:rsidRPr="00801C6D">
        <w:rPr>
          <w:rFonts w:ascii="Arial" w:hAnsi="Arial" w:cs="Arial"/>
          <w:sz w:val="20"/>
          <w:szCs w:val="20"/>
        </w:rPr>
        <w:tab/>
        <w:t xml:space="preserve">    </w:t>
      </w:r>
      <w:r w:rsidRPr="00801C6D">
        <w:rPr>
          <w:rFonts w:ascii="Arial" w:hAnsi="Arial" w:cs="Arial"/>
          <w:i/>
          <w:iCs/>
          <w:sz w:val="18"/>
          <w:szCs w:val="18"/>
        </w:rPr>
        <w:t>C- carbon, O-oxygen, N-nitrogen, H-hydrogen, S-sulfur, F-fluorine</w:t>
      </w:r>
    </w:p>
    <w:p w14:paraId="51493386" w14:textId="77777777" w:rsidR="00AE2A46" w:rsidRPr="00801C6D" w:rsidRDefault="00AE2A46" w:rsidP="00AE2A46">
      <w:pPr>
        <w:spacing w:after="120" w:line="276" w:lineRule="auto"/>
        <w:jc w:val="both"/>
        <w:rPr>
          <w:rFonts w:ascii="Arial" w:hAnsi="Arial" w:cs="Arial"/>
          <w:sz w:val="20"/>
          <w:szCs w:val="20"/>
        </w:rPr>
      </w:pPr>
      <w:r w:rsidRPr="00801C6D">
        <w:rPr>
          <w:rFonts w:ascii="Arial" w:hAnsi="Arial" w:cs="Arial"/>
          <w:sz w:val="20"/>
          <w:szCs w:val="20"/>
        </w:rPr>
        <w:t>Formulation 1 (F1), containing avocado oil as the active ingredient, shows characteristic absorption bands corresponding to intermolecular-bonded alcohols (O–H), carboxylic acids (C=O), alkenes (C=C), amines (N–H), sulfates (S=O), and sulfoxides (S=O). These functional groups are consistent with the fatty acids, sterols, and emulsifying agents present in the formulation. Formulation 2 (F2), which incorporates rosehip oil, exhibits similar categories of functional groups, including intermolecular hydrogen-bonded alcohols, carboxylic acids, alkynes, thiocyanates, azides, alkenes, and amines, reflecting the presence of polyunsaturated fatty acids and formulation excipients. Formulation 3 (F3) demonstrates functional groups such as alcohols, carboxylic acids, thiocyanates, alkenes, amines, sulfates, sulfoxides, and anhydrides, indicating overlapping contributions from both plant oils and formulation additives.</w:t>
      </w:r>
    </w:p>
    <w:p w14:paraId="004A8389" w14:textId="77777777" w:rsidR="00AE2A46" w:rsidRPr="00801C6D" w:rsidRDefault="00AE2A46" w:rsidP="00AE2A46">
      <w:pPr>
        <w:spacing w:after="120" w:line="276" w:lineRule="auto"/>
        <w:jc w:val="both"/>
        <w:rPr>
          <w:rFonts w:ascii="Arial" w:hAnsi="Arial" w:cs="Arial"/>
          <w:i/>
          <w:iCs/>
          <w:sz w:val="20"/>
          <w:szCs w:val="20"/>
        </w:rPr>
      </w:pPr>
      <w:r w:rsidRPr="00801C6D">
        <w:rPr>
          <w:rFonts w:ascii="Arial" w:hAnsi="Arial" w:cs="Arial"/>
          <w:i/>
          <w:iCs/>
          <w:sz w:val="20"/>
          <w:szCs w:val="20"/>
        </w:rPr>
        <w:lastRenderedPageBreak/>
        <w:t>Antibacterial activity test</w:t>
      </w:r>
    </w:p>
    <w:p w14:paraId="45A4C8CE" w14:textId="77777777" w:rsidR="00AE2A46" w:rsidRPr="00801C6D" w:rsidRDefault="00AE2A46" w:rsidP="00AE2A46">
      <w:pPr>
        <w:spacing w:after="120" w:line="276" w:lineRule="auto"/>
        <w:jc w:val="both"/>
        <w:rPr>
          <w:rFonts w:ascii="Arial" w:hAnsi="Arial" w:cs="Arial"/>
          <w:i/>
          <w:iCs/>
          <w:sz w:val="20"/>
          <w:szCs w:val="20"/>
        </w:rPr>
      </w:pPr>
      <w:r w:rsidRPr="00801C6D">
        <w:rPr>
          <w:rFonts w:ascii="Arial" w:hAnsi="Arial" w:cs="Arial"/>
          <w:sz w:val="20"/>
          <w:szCs w:val="20"/>
        </w:rPr>
        <w:t xml:space="preserve">The agar well diffusion method was used to determine the diameter of the inhibitory zone. This was done by observing and measuring the diameter of the clear zone. According to the findings presented in Table 8, only the positive control exhibits an inhibition zone with a value of 30.67 mm ± 1.16. The test used gentamicin antibiotic as the positive control. No zone inhibition was observed when testing the resulting formulation for antibacterial activity. </w:t>
      </w:r>
    </w:p>
    <w:p w14:paraId="5DB85CDB" w14:textId="380C2C7C" w:rsidR="00AE2A46" w:rsidRPr="00801C6D" w:rsidRDefault="00AE2A46" w:rsidP="00AE2A46">
      <w:pPr>
        <w:spacing w:after="120"/>
        <w:jc w:val="center"/>
        <w:rPr>
          <w:rFonts w:ascii="Arial" w:hAnsi="Arial" w:cs="Arial"/>
          <w:i/>
          <w:iCs/>
          <w:sz w:val="20"/>
          <w:szCs w:val="20"/>
        </w:rPr>
      </w:pPr>
      <w:r w:rsidRPr="00801C6D">
        <w:rPr>
          <w:rFonts w:ascii="Arial" w:hAnsi="Arial" w:cs="Arial"/>
          <w:b/>
          <w:bCs/>
          <w:i/>
          <w:iCs/>
          <w:sz w:val="20"/>
          <w:szCs w:val="20"/>
        </w:rPr>
        <w:t>Table 8:</w:t>
      </w:r>
      <w:r w:rsidRPr="00801C6D">
        <w:rPr>
          <w:rFonts w:ascii="Arial" w:hAnsi="Arial" w:cs="Arial"/>
          <w:i/>
          <w:iCs/>
          <w:sz w:val="20"/>
          <w:szCs w:val="20"/>
        </w:rPr>
        <w:t xml:space="preserve"> Antibacterial Activity Results (Inhibition Zone </w:t>
      </w:r>
      <w:r w:rsidR="00F131FF" w:rsidRPr="00801C6D">
        <w:rPr>
          <w:rFonts w:ascii="Arial" w:hAnsi="Arial" w:cs="Arial"/>
          <w:i/>
          <w:iCs/>
          <w:sz w:val="20"/>
          <w:szCs w:val="20"/>
        </w:rPr>
        <w:t>of</w:t>
      </w:r>
      <w:r w:rsidRPr="00801C6D">
        <w:rPr>
          <w:rFonts w:ascii="Arial" w:hAnsi="Arial" w:cs="Arial"/>
          <w:i/>
          <w:iCs/>
          <w:sz w:val="20"/>
          <w:szCs w:val="20"/>
        </w:rPr>
        <w:t xml:space="preserve"> Cream Formulation Against S. Epidermidis</w:t>
      </w:r>
    </w:p>
    <w:tbl>
      <w:tblPr>
        <w:tblStyle w:val="TableGrid"/>
        <w:tblW w:w="0" w:type="auto"/>
        <w:jc w:val="center"/>
        <w:tblLook w:val="04A0" w:firstRow="1" w:lastRow="0" w:firstColumn="1" w:lastColumn="0" w:noHBand="0" w:noVBand="1"/>
      </w:tblPr>
      <w:tblGrid>
        <w:gridCol w:w="483"/>
        <w:gridCol w:w="3783"/>
        <w:gridCol w:w="3945"/>
      </w:tblGrid>
      <w:tr w:rsidR="00AE2A46" w:rsidRPr="00801C6D" w14:paraId="36E4B3C9" w14:textId="77777777" w:rsidTr="00B46A29">
        <w:trPr>
          <w:jc w:val="center"/>
        </w:trPr>
        <w:tc>
          <w:tcPr>
            <w:tcW w:w="483" w:type="dxa"/>
          </w:tcPr>
          <w:p w14:paraId="04CF1381" w14:textId="77777777" w:rsidR="00AE2A46" w:rsidRPr="00801C6D" w:rsidRDefault="00AE2A46" w:rsidP="00B46A29">
            <w:pPr>
              <w:jc w:val="both"/>
              <w:rPr>
                <w:rFonts w:ascii="Arial" w:hAnsi="Arial" w:cs="Arial"/>
                <w:sz w:val="18"/>
                <w:szCs w:val="18"/>
              </w:rPr>
            </w:pPr>
          </w:p>
        </w:tc>
        <w:tc>
          <w:tcPr>
            <w:tcW w:w="3783" w:type="dxa"/>
            <w:vAlign w:val="center"/>
          </w:tcPr>
          <w:p w14:paraId="172BFC74" w14:textId="77777777" w:rsidR="00AE2A46" w:rsidRPr="00801C6D" w:rsidRDefault="00AE2A46" w:rsidP="00B46A29">
            <w:pPr>
              <w:jc w:val="both"/>
              <w:rPr>
                <w:rFonts w:ascii="Arial" w:hAnsi="Arial" w:cs="Arial"/>
                <w:b/>
                <w:bCs/>
                <w:sz w:val="18"/>
                <w:szCs w:val="18"/>
              </w:rPr>
            </w:pPr>
            <w:r w:rsidRPr="00801C6D">
              <w:rPr>
                <w:rFonts w:ascii="Arial" w:hAnsi="Arial" w:cs="Arial"/>
                <w:b/>
                <w:bCs/>
                <w:sz w:val="18"/>
                <w:szCs w:val="18"/>
              </w:rPr>
              <w:t>Control</w:t>
            </w:r>
          </w:p>
        </w:tc>
        <w:tc>
          <w:tcPr>
            <w:tcW w:w="3945" w:type="dxa"/>
          </w:tcPr>
          <w:p w14:paraId="0D80B7A6" w14:textId="77777777" w:rsidR="00AE2A46" w:rsidRPr="00801C6D" w:rsidRDefault="00AE2A46" w:rsidP="00B46A29">
            <w:pPr>
              <w:jc w:val="center"/>
              <w:rPr>
                <w:rFonts w:ascii="Arial" w:hAnsi="Arial" w:cs="Arial"/>
                <w:b/>
                <w:bCs/>
                <w:sz w:val="18"/>
                <w:szCs w:val="18"/>
              </w:rPr>
            </w:pPr>
            <w:r w:rsidRPr="00801C6D">
              <w:rPr>
                <w:rFonts w:ascii="Arial" w:hAnsi="Arial" w:cs="Arial"/>
                <w:b/>
                <w:bCs/>
                <w:sz w:val="18"/>
                <w:szCs w:val="18"/>
              </w:rPr>
              <w:t>Diameter of the inhibition zone</w:t>
            </w:r>
          </w:p>
          <w:p w14:paraId="1E12160D" w14:textId="77777777" w:rsidR="00AE2A46" w:rsidRPr="00801C6D" w:rsidRDefault="00AE2A46" w:rsidP="00B46A29">
            <w:pPr>
              <w:jc w:val="center"/>
              <w:rPr>
                <w:rFonts w:ascii="Arial" w:hAnsi="Arial" w:cs="Arial"/>
                <w:b/>
                <w:bCs/>
                <w:sz w:val="18"/>
                <w:szCs w:val="18"/>
              </w:rPr>
            </w:pPr>
            <w:r w:rsidRPr="00801C6D">
              <w:rPr>
                <w:rFonts w:ascii="Arial" w:hAnsi="Arial" w:cs="Arial"/>
                <w:b/>
                <w:bCs/>
                <w:sz w:val="18"/>
                <w:szCs w:val="18"/>
              </w:rPr>
              <w:t>(mm ±SD)</w:t>
            </w:r>
          </w:p>
        </w:tc>
      </w:tr>
      <w:tr w:rsidR="00AE2A46" w:rsidRPr="00801C6D" w14:paraId="39A0BDF5" w14:textId="77777777" w:rsidTr="00B46A29">
        <w:trPr>
          <w:jc w:val="center"/>
        </w:trPr>
        <w:tc>
          <w:tcPr>
            <w:tcW w:w="483" w:type="dxa"/>
            <w:vMerge w:val="restart"/>
            <w:vAlign w:val="center"/>
          </w:tcPr>
          <w:p w14:paraId="7ED1EF4C" w14:textId="77777777" w:rsidR="00AE2A46" w:rsidRPr="00801C6D" w:rsidRDefault="00AE2A46" w:rsidP="00B46A29">
            <w:pPr>
              <w:jc w:val="both"/>
              <w:rPr>
                <w:rFonts w:ascii="Arial" w:hAnsi="Arial" w:cs="Arial"/>
                <w:sz w:val="18"/>
                <w:szCs w:val="18"/>
              </w:rPr>
            </w:pPr>
            <w:r w:rsidRPr="00801C6D">
              <w:rPr>
                <w:rFonts w:ascii="Arial" w:hAnsi="Arial" w:cs="Arial"/>
                <w:sz w:val="18"/>
                <w:szCs w:val="18"/>
              </w:rPr>
              <w:t>F1</w:t>
            </w:r>
          </w:p>
        </w:tc>
        <w:tc>
          <w:tcPr>
            <w:tcW w:w="3783" w:type="dxa"/>
          </w:tcPr>
          <w:p w14:paraId="56D6292C" w14:textId="77777777" w:rsidR="00AE2A46" w:rsidRPr="00801C6D" w:rsidRDefault="00AE2A46" w:rsidP="00B46A29">
            <w:pPr>
              <w:jc w:val="both"/>
              <w:rPr>
                <w:rFonts w:ascii="Arial" w:hAnsi="Arial" w:cs="Arial"/>
                <w:sz w:val="18"/>
                <w:szCs w:val="18"/>
              </w:rPr>
            </w:pPr>
            <w:r w:rsidRPr="00801C6D">
              <w:rPr>
                <w:rFonts w:ascii="Arial" w:hAnsi="Arial" w:cs="Arial"/>
                <w:sz w:val="18"/>
                <w:szCs w:val="18"/>
              </w:rPr>
              <w:t>Positive control (Gentamicin)</w:t>
            </w:r>
          </w:p>
        </w:tc>
        <w:tc>
          <w:tcPr>
            <w:tcW w:w="3945" w:type="dxa"/>
          </w:tcPr>
          <w:p w14:paraId="70F672D8" w14:textId="77777777" w:rsidR="00AE2A46" w:rsidRPr="00801C6D" w:rsidRDefault="00AE2A46" w:rsidP="00B46A29">
            <w:pPr>
              <w:jc w:val="center"/>
              <w:rPr>
                <w:rFonts w:ascii="Arial" w:hAnsi="Arial" w:cs="Arial"/>
                <w:sz w:val="18"/>
                <w:szCs w:val="18"/>
              </w:rPr>
            </w:pPr>
            <w:r w:rsidRPr="00801C6D">
              <w:rPr>
                <w:rFonts w:ascii="Arial" w:hAnsi="Arial" w:cs="Arial"/>
                <w:sz w:val="18"/>
                <w:szCs w:val="18"/>
              </w:rPr>
              <w:t>30.67 ±1.16A</w:t>
            </w:r>
          </w:p>
        </w:tc>
      </w:tr>
      <w:tr w:rsidR="00AE2A46" w:rsidRPr="00801C6D" w14:paraId="34FD095B" w14:textId="77777777" w:rsidTr="00B46A29">
        <w:trPr>
          <w:jc w:val="center"/>
        </w:trPr>
        <w:tc>
          <w:tcPr>
            <w:tcW w:w="483" w:type="dxa"/>
            <w:vMerge/>
          </w:tcPr>
          <w:p w14:paraId="66A432A6" w14:textId="77777777" w:rsidR="00AE2A46" w:rsidRPr="00801C6D" w:rsidRDefault="00AE2A46" w:rsidP="00B46A29">
            <w:pPr>
              <w:jc w:val="both"/>
              <w:rPr>
                <w:rFonts w:ascii="Arial" w:hAnsi="Arial" w:cs="Arial"/>
                <w:sz w:val="18"/>
                <w:szCs w:val="18"/>
              </w:rPr>
            </w:pPr>
          </w:p>
        </w:tc>
        <w:tc>
          <w:tcPr>
            <w:tcW w:w="3783" w:type="dxa"/>
          </w:tcPr>
          <w:p w14:paraId="4437F18E" w14:textId="77777777" w:rsidR="00AE2A46" w:rsidRPr="00801C6D" w:rsidRDefault="00AE2A46" w:rsidP="00B46A29">
            <w:pPr>
              <w:jc w:val="both"/>
              <w:rPr>
                <w:rFonts w:ascii="Arial" w:hAnsi="Arial" w:cs="Arial"/>
                <w:sz w:val="18"/>
                <w:szCs w:val="18"/>
              </w:rPr>
            </w:pPr>
            <w:r w:rsidRPr="00801C6D">
              <w:rPr>
                <w:rFonts w:ascii="Arial" w:hAnsi="Arial" w:cs="Arial"/>
                <w:sz w:val="18"/>
                <w:szCs w:val="18"/>
              </w:rPr>
              <w:t>Negative control (Formulation without active ingredients)</w:t>
            </w:r>
          </w:p>
        </w:tc>
        <w:tc>
          <w:tcPr>
            <w:tcW w:w="3945" w:type="dxa"/>
          </w:tcPr>
          <w:p w14:paraId="313AB9F7" w14:textId="77777777" w:rsidR="00AE2A46" w:rsidRPr="00801C6D" w:rsidRDefault="00AE2A46" w:rsidP="00B46A29">
            <w:pPr>
              <w:jc w:val="center"/>
              <w:rPr>
                <w:rFonts w:ascii="Arial" w:hAnsi="Arial" w:cs="Arial"/>
                <w:sz w:val="18"/>
                <w:szCs w:val="18"/>
              </w:rPr>
            </w:pPr>
            <w:r w:rsidRPr="00801C6D">
              <w:rPr>
                <w:rFonts w:ascii="Arial" w:hAnsi="Arial" w:cs="Arial"/>
                <w:sz w:val="18"/>
                <w:szCs w:val="18"/>
              </w:rPr>
              <w:t>No inhibition zone</w:t>
            </w:r>
          </w:p>
        </w:tc>
      </w:tr>
      <w:tr w:rsidR="00AE2A46" w:rsidRPr="00801C6D" w14:paraId="5161BB82" w14:textId="77777777" w:rsidTr="00B46A29">
        <w:trPr>
          <w:jc w:val="center"/>
        </w:trPr>
        <w:tc>
          <w:tcPr>
            <w:tcW w:w="483" w:type="dxa"/>
            <w:vMerge/>
          </w:tcPr>
          <w:p w14:paraId="6A5CAC9E" w14:textId="77777777" w:rsidR="00AE2A46" w:rsidRPr="00801C6D" w:rsidRDefault="00AE2A46" w:rsidP="00B46A29">
            <w:pPr>
              <w:jc w:val="both"/>
              <w:rPr>
                <w:rFonts w:ascii="Arial" w:hAnsi="Arial" w:cs="Arial"/>
                <w:sz w:val="18"/>
                <w:szCs w:val="18"/>
              </w:rPr>
            </w:pPr>
          </w:p>
        </w:tc>
        <w:tc>
          <w:tcPr>
            <w:tcW w:w="3783" w:type="dxa"/>
          </w:tcPr>
          <w:p w14:paraId="00570AF6" w14:textId="77777777" w:rsidR="00AE2A46" w:rsidRPr="00801C6D" w:rsidRDefault="00AE2A46" w:rsidP="00B46A29">
            <w:pPr>
              <w:jc w:val="both"/>
              <w:rPr>
                <w:rFonts w:ascii="Arial" w:hAnsi="Arial" w:cs="Arial"/>
                <w:sz w:val="18"/>
                <w:szCs w:val="18"/>
              </w:rPr>
            </w:pPr>
            <w:r w:rsidRPr="00801C6D">
              <w:rPr>
                <w:rFonts w:ascii="Arial" w:hAnsi="Arial" w:cs="Arial"/>
                <w:sz w:val="18"/>
                <w:szCs w:val="18"/>
              </w:rPr>
              <w:t>Formulation 1 (Contains avocado oil)</w:t>
            </w:r>
          </w:p>
        </w:tc>
        <w:tc>
          <w:tcPr>
            <w:tcW w:w="3945" w:type="dxa"/>
          </w:tcPr>
          <w:p w14:paraId="264C1F83" w14:textId="77777777" w:rsidR="00AE2A46" w:rsidRPr="00801C6D" w:rsidRDefault="00AE2A46" w:rsidP="00B46A29">
            <w:pPr>
              <w:jc w:val="center"/>
              <w:rPr>
                <w:rFonts w:ascii="Arial" w:hAnsi="Arial" w:cs="Arial"/>
                <w:sz w:val="18"/>
                <w:szCs w:val="18"/>
              </w:rPr>
            </w:pPr>
            <w:r w:rsidRPr="00801C6D">
              <w:rPr>
                <w:rFonts w:ascii="Arial" w:hAnsi="Arial" w:cs="Arial"/>
                <w:sz w:val="18"/>
                <w:szCs w:val="18"/>
              </w:rPr>
              <w:t>No inhibition zone</w:t>
            </w:r>
          </w:p>
        </w:tc>
      </w:tr>
      <w:tr w:rsidR="00AE2A46" w:rsidRPr="00801C6D" w14:paraId="303A600B" w14:textId="77777777" w:rsidTr="00B46A29">
        <w:trPr>
          <w:jc w:val="center"/>
        </w:trPr>
        <w:tc>
          <w:tcPr>
            <w:tcW w:w="483" w:type="dxa"/>
            <w:vMerge w:val="restart"/>
            <w:vAlign w:val="center"/>
          </w:tcPr>
          <w:p w14:paraId="2D634710" w14:textId="77777777" w:rsidR="00AE2A46" w:rsidRPr="00801C6D" w:rsidRDefault="00AE2A46" w:rsidP="00B46A29">
            <w:pPr>
              <w:jc w:val="both"/>
              <w:rPr>
                <w:rFonts w:ascii="Arial" w:hAnsi="Arial" w:cs="Arial"/>
                <w:sz w:val="18"/>
                <w:szCs w:val="18"/>
              </w:rPr>
            </w:pPr>
            <w:r w:rsidRPr="00801C6D">
              <w:rPr>
                <w:rFonts w:ascii="Arial" w:hAnsi="Arial" w:cs="Arial"/>
                <w:sz w:val="18"/>
                <w:szCs w:val="18"/>
              </w:rPr>
              <w:t>F2</w:t>
            </w:r>
          </w:p>
        </w:tc>
        <w:tc>
          <w:tcPr>
            <w:tcW w:w="3783" w:type="dxa"/>
          </w:tcPr>
          <w:p w14:paraId="54AA0CAC" w14:textId="77777777" w:rsidR="00AE2A46" w:rsidRPr="00801C6D" w:rsidRDefault="00AE2A46" w:rsidP="00B46A29">
            <w:pPr>
              <w:jc w:val="both"/>
              <w:rPr>
                <w:rFonts w:ascii="Arial" w:hAnsi="Arial" w:cs="Arial"/>
                <w:sz w:val="18"/>
                <w:szCs w:val="18"/>
              </w:rPr>
            </w:pPr>
            <w:r w:rsidRPr="00801C6D">
              <w:rPr>
                <w:rFonts w:ascii="Arial" w:hAnsi="Arial" w:cs="Arial"/>
                <w:sz w:val="18"/>
                <w:szCs w:val="18"/>
              </w:rPr>
              <w:t>Positive control (Gentamicin)</w:t>
            </w:r>
          </w:p>
        </w:tc>
        <w:tc>
          <w:tcPr>
            <w:tcW w:w="3945" w:type="dxa"/>
          </w:tcPr>
          <w:p w14:paraId="1AB516DA" w14:textId="77777777" w:rsidR="00AE2A46" w:rsidRPr="00801C6D" w:rsidRDefault="00AE2A46" w:rsidP="00B46A29">
            <w:pPr>
              <w:jc w:val="center"/>
              <w:rPr>
                <w:rFonts w:ascii="Arial" w:hAnsi="Arial" w:cs="Arial"/>
                <w:sz w:val="18"/>
                <w:szCs w:val="18"/>
              </w:rPr>
            </w:pPr>
            <w:r w:rsidRPr="00801C6D">
              <w:rPr>
                <w:rFonts w:ascii="Arial" w:hAnsi="Arial" w:cs="Arial"/>
                <w:sz w:val="18"/>
                <w:szCs w:val="18"/>
              </w:rPr>
              <w:t>29.33 ±1.16AB</w:t>
            </w:r>
          </w:p>
        </w:tc>
      </w:tr>
      <w:tr w:rsidR="00AE2A46" w:rsidRPr="00801C6D" w14:paraId="310906BA" w14:textId="77777777" w:rsidTr="00B46A29">
        <w:trPr>
          <w:jc w:val="center"/>
        </w:trPr>
        <w:tc>
          <w:tcPr>
            <w:tcW w:w="483" w:type="dxa"/>
            <w:vMerge/>
          </w:tcPr>
          <w:p w14:paraId="4A835E56" w14:textId="77777777" w:rsidR="00AE2A46" w:rsidRPr="00801C6D" w:rsidRDefault="00AE2A46" w:rsidP="00B46A29">
            <w:pPr>
              <w:jc w:val="both"/>
              <w:rPr>
                <w:rFonts w:ascii="Arial" w:hAnsi="Arial" w:cs="Arial"/>
                <w:sz w:val="18"/>
                <w:szCs w:val="18"/>
              </w:rPr>
            </w:pPr>
          </w:p>
        </w:tc>
        <w:tc>
          <w:tcPr>
            <w:tcW w:w="3783" w:type="dxa"/>
          </w:tcPr>
          <w:p w14:paraId="2CC6E901" w14:textId="77777777" w:rsidR="00AE2A46" w:rsidRPr="00801C6D" w:rsidRDefault="00AE2A46" w:rsidP="00B46A29">
            <w:pPr>
              <w:jc w:val="both"/>
              <w:rPr>
                <w:rFonts w:ascii="Arial" w:hAnsi="Arial" w:cs="Arial"/>
                <w:sz w:val="18"/>
                <w:szCs w:val="18"/>
              </w:rPr>
            </w:pPr>
            <w:r w:rsidRPr="00801C6D">
              <w:rPr>
                <w:rFonts w:ascii="Arial" w:hAnsi="Arial" w:cs="Arial"/>
                <w:sz w:val="18"/>
                <w:szCs w:val="18"/>
              </w:rPr>
              <w:t>Negative control (Formulation without active ingredients)</w:t>
            </w:r>
          </w:p>
        </w:tc>
        <w:tc>
          <w:tcPr>
            <w:tcW w:w="3945" w:type="dxa"/>
          </w:tcPr>
          <w:p w14:paraId="65E58415" w14:textId="77777777" w:rsidR="00AE2A46" w:rsidRPr="00801C6D" w:rsidRDefault="00AE2A46" w:rsidP="00B46A29">
            <w:pPr>
              <w:jc w:val="center"/>
              <w:rPr>
                <w:rFonts w:ascii="Arial" w:hAnsi="Arial" w:cs="Arial"/>
                <w:sz w:val="18"/>
                <w:szCs w:val="18"/>
              </w:rPr>
            </w:pPr>
            <w:r w:rsidRPr="00801C6D">
              <w:rPr>
                <w:rFonts w:ascii="Arial" w:hAnsi="Arial" w:cs="Arial"/>
                <w:sz w:val="18"/>
                <w:szCs w:val="18"/>
              </w:rPr>
              <w:t>No inhibition zone</w:t>
            </w:r>
          </w:p>
        </w:tc>
      </w:tr>
      <w:tr w:rsidR="00AE2A46" w:rsidRPr="00801C6D" w14:paraId="5510917F" w14:textId="77777777" w:rsidTr="00B46A29">
        <w:trPr>
          <w:jc w:val="center"/>
        </w:trPr>
        <w:tc>
          <w:tcPr>
            <w:tcW w:w="483" w:type="dxa"/>
            <w:vMerge/>
          </w:tcPr>
          <w:p w14:paraId="4253D307" w14:textId="77777777" w:rsidR="00AE2A46" w:rsidRPr="00801C6D" w:rsidRDefault="00AE2A46" w:rsidP="00B46A29">
            <w:pPr>
              <w:jc w:val="both"/>
              <w:rPr>
                <w:rFonts w:ascii="Arial" w:hAnsi="Arial" w:cs="Arial"/>
                <w:sz w:val="18"/>
                <w:szCs w:val="18"/>
              </w:rPr>
            </w:pPr>
          </w:p>
        </w:tc>
        <w:tc>
          <w:tcPr>
            <w:tcW w:w="3783" w:type="dxa"/>
          </w:tcPr>
          <w:p w14:paraId="24D39BFF" w14:textId="77777777" w:rsidR="00AE2A46" w:rsidRPr="00801C6D" w:rsidRDefault="00AE2A46" w:rsidP="00B46A29">
            <w:pPr>
              <w:jc w:val="both"/>
              <w:rPr>
                <w:rFonts w:ascii="Arial" w:hAnsi="Arial" w:cs="Arial"/>
                <w:sz w:val="18"/>
                <w:szCs w:val="18"/>
              </w:rPr>
            </w:pPr>
            <w:r w:rsidRPr="00801C6D">
              <w:rPr>
                <w:rFonts w:ascii="Arial" w:hAnsi="Arial" w:cs="Arial"/>
                <w:sz w:val="18"/>
                <w:szCs w:val="18"/>
              </w:rPr>
              <w:t>Formulation 2 (Contains rosehip oil)</w:t>
            </w:r>
          </w:p>
        </w:tc>
        <w:tc>
          <w:tcPr>
            <w:tcW w:w="3945" w:type="dxa"/>
          </w:tcPr>
          <w:p w14:paraId="6514410E" w14:textId="77777777" w:rsidR="00AE2A46" w:rsidRPr="00801C6D" w:rsidRDefault="00AE2A46" w:rsidP="00B46A29">
            <w:pPr>
              <w:jc w:val="center"/>
              <w:rPr>
                <w:rFonts w:ascii="Arial" w:hAnsi="Arial" w:cs="Arial"/>
                <w:sz w:val="18"/>
                <w:szCs w:val="18"/>
              </w:rPr>
            </w:pPr>
            <w:r w:rsidRPr="00801C6D">
              <w:rPr>
                <w:rFonts w:ascii="Arial" w:hAnsi="Arial" w:cs="Arial"/>
                <w:sz w:val="18"/>
                <w:szCs w:val="18"/>
              </w:rPr>
              <w:t>No inhibition zone</w:t>
            </w:r>
          </w:p>
        </w:tc>
      </w:tr>
      <w:tr w:rsidR="00AE2A46" w:rsidRPr="00801C6D" w14:paraId="741994AC" w14:textId="77777777" w:rsidTr="00B46A29">
        <w:trPr>
          <w:jc w:val="center"/>
        </w:trPr>
        <w:tc>
          <w:tcPr>
            <w:tcW w:w="483" w:type="dxa"/>
            <w:vMerge w:val="restart"/>
            <w:vAlign w:val="center"/>
          </w:tcPr>
          <w:p w14:paraId="77AAA60D" w14:textId="77777777" w:rsidR="00AE2A46" w:rsidRPr="00801C6D" w:rsidRDefault="00AE2A46" w:rsidP="00B46A29">
            <w:pPr>
              <w:jc w:val="both"/>
              <w:rPr>
                <w:rFonts w:ascii="Arial" w:hAnsi="Arial" w:cs="Arial"/>
                <w:sz w:val="18"/>
                <w:szCs w:val="18"/>
              </w:rPr>
            </w:pPr>
            <w:r w:rsidRPr="00801C6D">
              <w:rPr>
                <w:rFonts w:ascii="Arial" w:hAnsi="Arial" w:cs="Arial"/>
                <w:sz w:val="18"/>
                <w:szCs w:val="18"/>
              </w:rPr>
              <w:t>F3</w:t>
            </w:r>
          </w:p>
        </w:tc>
        <w:tc>
          <w:tcPr>
            <w:tcW w:w="3783" w:type="dxa"/>
          </w:tcPr>
          <w:p w14:paraId="68B136A8" w14:textId="77777777" w:rsidR="00AE2A46" w:rsidRPr="00801C6D" w:rsidRDefault="00AE2A46" w:rsidP="00B46A29">
            <w:pPr>
              <w:jc w:val="both"/>
              <w:rPr>
                <w:rFonts w:ascii="Arial" w:hAnsi="Arial" w:cs="Arial"/>
                <w:sz w:val="18"/>
                <w:szCs w:val="18"/>
              </w:rPr>
            </w:pPr>
            <w:r w:rsidRPr="00801C6D">
              <w:rPr>
                <w:rFonts w:ascii="Arial" w:hAnsi="Arial" w:cs="Arial"/>
                <w:sz w:val="18"/>
                <w:szCs w:val="18"/>
              </w:rPr>
              <w:t>Positive control (Gentamicin)</w:t>
            </w:r>
          </w:p>
        </w:tc>
        <w:tc>
          <w:tcPr>
            <w:tcW w:w="3945" w:type="dxa"/>
          </w:tcPr>
          <w:p w14:paraId="718AC7A2" w14:textId="77777777" w:rsidR="00AE2A46" w:rsidRPr="00801C6D" w:rsidRDefault="00AE2A46" w:rsidP="00B46A29">
            <w:pPr>
              <w:jc w:val="center"/>
              <w:rPr>
                <w:rFonts w:ascii="Arial" w:hAnsi="Arial" w:cs="Arial"/>
                <w:sz w:val="18"/>
                <w:szCs w:val="18"/>
              </w:rPr>
            </w:pPr>
            <w:r w:rsidRPr="00801C6D">
              <w:rPr>
                <w:rFonts w:ascii="Arial" w:hAnsi="Arial" w:cs="Arial"/>
                <w:sz w:val="18"/>
                <w:szCs w:val="18"/>
              </w:rPr>
              <w:t>26.33 ±2.30B</w:t>
            </w:r>
          </w:p>
        </w:tc>
      </w:tr>
      <w:tr w:rsidR="00AE2A46" w:rsidRPr="00801C6D" w14:paraId="2894AA57" w14:textId="77777777" w:rsidTr="00B46A29">
        <w:trPr>
          <w:jc w:val="center"/>
        </w:trPr>
        <w:tc>
          <w:tcPr>
            <w:tcW w:w="483" w:type="dxa"/>
            <w:vMerge/>
          </w:tcPr>
          <w:p w14:paraId="14699062" w14:textId="77777777" w:rsidR="00AE2A46" w:rsidRPr="00801C6D" w:rsidRDefault="00AE2A46" w:rsidP="00B46A29">
            <w:pPr>
              <w:jc w:val="both"/>
              <w:rPr>
                <w:rFonts w:ascii="Arial" w:hAnsi="Arial" w:cs="Arial"/>
                <w:sz w:val="18"/>
                <w:szCs w:val="18"/>
              </w:rPr>
            </w:pPr>
          </w:p>
        </w:tc>
        <w:tc>
          <w:tcPr>
            <w:tcW w:w="3783" w:type="dxa"/>
          </w:tcPr>
          <w:p w14:paraId="30D4C9DB" w14:textId="77777777" w:rsidR="00AE2A46" w:rsidRPr="00801C6D" w:rsidRDefault="00AE2A46" w:rsidP="00B46A29">
            <w:pPr>
              <w:jc w:val="both"/>
              <w:rPr>
                <w:rFonts w:ascii="Arial" w:hAnsi="Arial" w:cs="Arial"/>
                <w:sz w:val="18"/>
                <w:szCs w:val="18"/>
              </w:rPr>
            </w:pPr>
            <w:r w:rsidRPr="00801C6D">
              <w:rPr>
                <w:rFonts w:ascii="Arial" w:hAnsi="Arial" w:cs="Arial"/>
                <w:sz w:val="18"/>
                <w:szCs w:val="18"/>
              </w:rPr>
              <w:t>Negative control (Formulation without active ingredients)</w:t>
            </w:r>
          </w:p>
        </w:tc>
        <w:tc>
          <w:tcPr>
            <w:tcW w:w="3945" w:type="dxa"/>
          </w:tcPr>
          <w:p w14:paraId="6E50B09F" w14:textId="77777777" w:rsidR="00AE2A46" w:rsidRPr="00801C6D" w:rsidRDefault="00AE2A46" w:rsidP="00B46A29">
            <w:pPr>
              <w:jc w:val="center"/>
              <w:rPr>
                <w:rFonts w:ascii="Arial" w:hAnsi="Arial" w:cs="Arial"/>
                <w:sz w:val="18"/>
                <w:szCs w:val="18"/>
              </w:rPr>
            </w:pPr>
            <w:r w:rsidRPr="00801C6D">
              <w:rPr>
                <w:rFonts w:ascii="Arial" w:hAnsi="Arial" w:cs="Arial"/>
                <w:sz w:val="18"/>
                <w:szCs w:val="18"/>
              </w:rPr>
              <w:t>No inhibition zone</w:t>
            </w:r>
          </w:p>
        </w:tc>
      </w:tr>
      <w:tr w:rsidR="00AE2A46" w:rsidRPr="00801C6D" w14:paraId="676D445B" w14:textId="77777777" w:rsidTr="00B46A29">
        <w:trPr>
          <w:jc w:val="center"/>
        </w:trPr>
        <w:tc>
          <w:tcPr>
            <w:tcW w:w="483" w:type="dxa"/>
            <w:vMerge/>
          </w:tcPr>
          <w:p w14:paraId="6A5798B4" w14:textId="77777777" w:rsidR="00AE2A46" w:rsidRPr="00801C6D" w:rsidRDefault="00AE2A46" w:rsidP="00B46A29">
            <w:pPr>
              <w:jc w:val="both"/>
              <w:rPr>
                <w:rFonts w:ascii="Arial" w:hAnsi="Arial" w:cs="Arial"/>
                <w:sz w:val="18"/>
                <w:szCs w:val="18"/>
              </w:rPr>
            </w:pPr>
          </w:p>
        </w:tc>
        <w:tc>
          <w:tcPr>
            <w:tcW w:w="3783" w:type="dxa"/>
          </w:tcPr>
          <w:p w14:paraId="3D8A2E12" w14:textId="77777777" w:rsidR="00AE2A46" w:rsidRPr="00801C6D" w:rsidRDefault="00AE2A46" w:rsidP="00B46A29">
            <w:pPr>
              <w:jc w:val="both"/>
              <w:rPr>
                <w:rFonts w:ascii="Arial" w:hAnsi="Arial" w:cs="Arial"/>
                <w:sz w:val="18"/>
                <w:szCs w:val="18"/>
              </w:rPr>
            </w:pPr>
            <w:r w:rsidRPr="00801C6D">
              <w:rPr>
                <w:rFonts w:ascii="Arial" w:hAnsi="Arial" w:cs="Arial"/>
                <w:sz w:val="18"/>
                <w:szCs w:val="18"/>
              </w:rPr>
              <w:t>Formulation 3 (Contains avocado oil and rosehip oil)</w:t>
            </w:r>
          </w:p>
        </w:tc>
        <w:tc>
          <w:tcPr>
            <w:tcW w:w="3945" w:type="dxa"/>
          </w:tcPr>
          <w:p w14:paraId="79164BF7" w14:textId="77777777" w:rsidR="00AE2A46" w:rsidRPr="00801C6D" w:rsidRDefault="00AE2A46" w:rsidP="00B46A29">
            <w:pPr>
              <w:jc w:val="center"/>
              <w:rPr>
                <w:rFonts w:ascii="Arial" w:hAnsi="Arial" w:cs="Arial"/>
                <w:sz w:val="18"/>
                <w:szCs w:val="18"/>
              </w:rPr>
            </w:pPr>
            <w:r w:rsidRPr="00801C6D">
              <w:rPr>
                <w:rFonts w:ascii="Arial" w:hAnsi="Arial" w:cs="Arial"/>
                <w:sz w:val="18"/>
                <w:szCs w:val="18"/>
              </w:rPr>
              <w:t>No inhibition zone</w:t>
            </w:r>
          </w:p>
        </w:tc>
      </w:tr>
    </w:tbl>
    <w:p w14:paraId="65E43A30" w14:textId="77777777" w:rsidR="00AE2A46" w:rsidRPr="00801C6D" w:rsidRDefault="00AE2A46" w:rsidP="00AE2A46">
      <w:pPr>
        <w:jc w:val="both"/>
        <w:rPr>
          <w:rFonts w:ascii="Arial" w:hAnsi="Arial" w:cs="Arial"/>
          <w:i/>
          <w:iCs/>
          <w:sz w:val="18"/>
          <w:szCs w:val="18"/>
        </w:rPr>
      </w:pPr>
      <w:r w:rsidRPr="00801C6D">
        <w:rPr>
          <w:rFonts w:ascii="Arial" w:hAnsi="Arial" w:cs="Arial"/>
          <w:i/>
          <w:iCs/>
          <w:sz w:val="18"/>
          <w:szCs w:val="18"/>
        </w:rPr>
        <w:t xml:space="preserve">            Values with no shared letters vary significantly at p&lt;0.05, SD = standard deviation</w:t>
      </w:r>
    </w:p>
    <w:p w14:paraId="7F992930" w14:textId="77777777" w:rsidR="00AE2A46" w:rsidRPr="00801C6D" w:rsidRDefault="00AE2A46" w:rsidP="00574E65">
      <w:pPr>
        <w:jc w:val="both"/>
        <w:rPr>
          <w:rFonts w:ascii="Arial" w:hAnsi="Arial" w:cs="Arial"/>
          <w:b/>
          <w:bCs/>
          <w:sz w:val="20"/>
          <w:szCs w:val="20"/>
        </w:rPr>
      </w:pPr>
    </w:p>
    <w:p w14:paraId="31CE09E7" w14:textId="77777777" w:rsidR="00AE2A46" w:rsidRPr="00801C6D" w:rsidRDefault="00AE2A46" w:rsidP="00AE2A46">
      <w:pPr>
        <w:spacing w:after="120" w:line="276" w:lineRule="auto"/>
        <w:jc w:val="both"/>
        <w:rPr>
          <w:rFonts w:ascii="Arial" w:hAnsi="Arial" w:cs="Arial"/>
          <w:b/>
          <w:bCs/>
          <w:sz w:val="20"/>
          <w:szCs w:val="20"/>
        </w:rPr>
      </w:pPr>
      <w:r w:rsidRPr="00801C6D">
        <w:rPr>
          <w:rFonts w:ascii="Arial" w:hAnsi="Arial" w:cs="Arial"/>
          <w:b/>
          <w:bCs/>
          <w:sz w:val="20"/>
          <w:szCs w:val="20"/>
        </w:rPr>
        <w:t>Discussion</w:t>
      </w:r>
    </w:p>
    <w:p w14:paraId="485EB94F" w14:textId="77777777" w:rsidR="00AE2A46" w:rsidRPr="00801C6D" w:rsidRDefault="00AE2A46" w:rsidP="00AE2A46">
      <w:pPr>
        <w:spacing w:after="120" w:line="276" w:lineRule="auto"/>
        <w:jc w:val="both"/>
        <w:rPr>
          <w:rFonts w:ascii="Arial" w:hAnsi="Arial" w:cs="Arial"/>
          <w:sz w:val="20"/>
          <w:szCs w:val="20"/>
        </w:rPr>
      </w:pPr>
      <w:r w:rsidRPr="00801C6D">
        <w:rPr>
          <w:rFonts w:ascii="Arial" w:hAnsi="Arial" w:cs="Arial"/>
          <w:sz w:val="20"/>
          <w:szCs w:val="20"/>
        </w:rPr>
        <w:t xml:space="preserve">Based on physical property analyses, topical preparations should have a pH range of 4.5 to 6.5, </w:t>
      </w:r>
      <w:r w:rsidRPr="00C83771">
        <w:rPr>
          <w:rFonts w:ascii="Arial" w:hAnsi="Arial" w:cs="Arial"/>
          <w:sz w:val="20"/>
          <w:szCs w:val="20"/>
        </w:rPr>
        <w:t xml:space="preserve">corresponding to the skin's natural pH, where the results fall within the ideal range (Maha </w:t>
      </w:r>
      <w:r w:rsidRPr="00C83771">
        <w:rPr>
          <w:rFonts w:ascii="Arial" w:hAnsi="Arial" w:cs="Arial"/>
          <w:i/>
          <w:iCs/>
          <w:sz w:val="20"/>
          <w:szCs w:val="20"/>
        </w:rPr>
        <w:t>et al</w:t>
      </w:r>
      <w:r w:rsidRPr="00C83771">
        <w:rPr>
          <w:rFonts w:ascii="Arial" w:hAnsi="Arial" w:cs="Arial"/>
          <w:sz w:val="20"/>
          <w:szCs w:val="20"/>
        </w:rPr>
        <w:t xml:space="preserve">., 2018). The study by Mawazi </w:t>
      </w:r>
      <w:r w:rsidRPr="00C83771">
        <w:rPr>
          <w:rFonts w:ascii="Arial" w:hAnsi="Arial" w:cs="Arial"/>
          <w:i/>
          <w:iCs/>
          <w:sz w:val="20"/>
          <w:szCs w:val="20"/>
        </w:rPr>
        <w:t>et al</w:t>
      </w:r>
      <w:r w:rsidRPr="00C83771">
        <w:rPr>
          <w:rFonts w:ascii="Arial" w:hAnsi="Arial" w:cs="Arial"/>
          <w:sz w:val="20"/>
          <w:szCs w:val="20"/>
        </w:rPr>
        <w:t>. (2022), stated that if the pH of the topical preparation is too acidic or alkaline, it can cause skin irritation. Meanwhile, the cream formulation appears stable, as there is no sign of phase separation, indicating that all the ingredients have been completely blended. The spreadability values refer to the ability of the formulations to easily spread on the application surface</w:t>
      </w:r>
      <w:r w:rsidRPr="00801C6D">
        <w:rPr>
          <w:rFonts w:ascii="Arial" w:hAnsi="Arial" w:cs="Arial"/>
          <w:sz w:val="20"/>
          <w:szCs w:val="20"/>
        </w:rPr>
        <w:t xml:space="preserve"> with a small amount of shear. The </w:t>
      </w:r>
      <w:r w:rsidRPr="00C83771">
        <w:rPr>
          <w:rFonts w:ascii="Arial" w:hAnsi="Arial" w:cs="Arial"/>
          <w:sz w:val="20"/>
          <w:szCs w:val="20"/>
        </w:rPr>
        <w:t xml:space="preserve">spreadability of semisolid formulations, or the ability of cream to be spread evenly on the skin, is a key factor in delivering a standard drug dose to the skin and the effectiveness of a topical treatment (Chen </w:t>
      </w:r>
      <w:r w:rsidRPr="00C83771">
        <w:rPr>
          <w:rFonts w:ascii="Arial" w:hAnsi="Arial" w:cs="Arial"/>
          <w:i/>
          <w:iCs/>
          <w:sz w:val="20"/>
          <w:szCs w:val="20"/>
        </w:rPr>
        <w:t>et al</w:t>
      </w:r>
      <w:r w:rsidRPr="00C83771">
        <w:rPr>
          <w:rFonts w:ascii="Arial" w:hAnsi="Arial" w:cs="Arial"/>
          <w:sz w:val="20"/>
          <w:szCs w:val="20"/>
        </w:rPr>
        <w:t xml:space="preserve">., 2016). Mohamed </w:t>
      </w:r>
      <w:r w:rsidRPr="00C83771">
        <w:rPr>
          <w:rFonts w:ascii="Arial" w:hAnsi="Arial" w:cs="Arial"/>
          <w:i/>
          <w:iCs/>
          <w:sz w:val="20"/>
          <w:szCs w:val="20"/>
        </w:rPr>
        <w:t>et al</w:t>
      </w:r>
      <w:r w:rsidRPr="00C83771">
        <w:rPr>
          <w:rFonts w:ascii="Arial" w:hAnsi="Arial" w:cs="Arial"/>
          <w:sz w:val="20"/>
          <w:szCs w:val="20"/>
        </w:rPr>
        <w:t xml:space="preserve">. (2020) stated that the spreadability coefficient of the cream, which has a low value, suggests that the cream is easy to spread. Nurman </w:t>
      </w:r>
      <w:r w:rsidRPr="00C83771">
        <w:rPr>
          <w:rFonts w:ascii="Arial" w:hAnsi="Arial" w:cs="Arial"/>
          <w:i/>
          <w:iCs/>
          <w:sz w:val="20"/>
          <w:szCs w:val="20"/>
        </w:rPr>
        <w:t>et al</w:t>
      </w:r>
      <w:r w:rsidRPr="00C83771">
        <w:rPr>
          <w:rFonts w:ascii="Arial" w:hAnsi="Arial" w:cs="Arial"/>
          <w:sz w:val="20"/>
          <w:szCs w:val="20"/>
        </w:rPr>
        <w:t>. (2019) state that for an emulsion to be effectively distributed on the skin, it must possess good spreadability, typically within the 5-7 cm range. A lower spreadability value suggests that the cream can be easily spread over the skin with minimal effort. The results indicate that the formulation is highly spreadable and can</w:t>
      </w:r>
      <w:r w:rsidRPr="00801C6D">
        <w:rPr>
          <w:rFonts w:ascii="Arial" w:hAnsi="Arial" w:cs="Arial"/>
          <w:sz w:val="20"/>
          <w:szCs w:val="20"/>
        </w:rPr>
        <w:t xml:space="preserve"> be applied with minimal shear. All three oil-in-water formulations were observed to be miscible in the distilled water. Diluting an oil-in-water emulsion can be easily achieved by using an aqueous solvent. </w:t>
      </w:r>
    </w:p>
    <w:p w14:paraId="74F7F618" w14:textId="77777777" w:rsidR="00AE2A46" w:rsidRPr="00801C6D" w:rsidRDefault="00AE2A46" w:rsidP="00AE2A46">
      <w:pPr>
        <w:spacing w:after="120" w:line="276" w:lineRule="auto"/>
        <w:jc w:val="both"/>
        <w:rPr>
          <w:rFonts w:ascii="Arial" w:hAnsi="Arial" w:cs="Arial"/>
          <w:sz w:val="20"/>
          <w:szCs w:val="20"/>
        </w:rPr>
      </w:pPr>
      <w:r w:rsidRPr="00801C6D">
        <w:rPr>
          <w:rFonts w:ascii="Arial" w:hAnsi="Arial" w:cs="Arial"/>
          <w:sz w:val="20"/>
          <w:szCs w:val="20"/>
        </w:rPr>
        <w:t>Rheology studies the processes involved in producing and applying semisolid topically applied compositions. Rheological characteristics are crucial in determining the physical stability of a formulation during its shelf life. Non-Newtonian fluids are known to display complicated behaviour. The non-Newtonian behaviour was confirmed by the non-linear shear stress–shear rate curves and the decreasing viscosity trend with increasing shear rate in the graphs. These patterns indicate pseudoplastic behaviour. This shear-dependent viscosity is desirable because it enables easy spreading during application and maintains a higher viscosity at rest, thereby improving stability and the overall user experience. The study displayed characteristics desirable in pharmaceutical and cosmetic products that are used topically.</w:t>
      </w:r>
    </w:p>
    <w:p w14:paraId="67A8F439" w14:textId="77777777" w:rsidR="00AE2A46" w:rsidRPr="00C83771" w:rsidRDefault="00AE2A46" w:rsidP="00AE2A46">
      <w:pPr>
        <w:spacing w:after="120" w:line="276" w:lineRule="auto"/>
        <w:jc w:val="both"/>
        <w:rPr>
          <w:rFonts w:ascii="Arial" w:hAnsi="Arial" w:cs="Arial"/>
          <w:sz w:val="20"/>
          <w:szCs w:val="20"/>
        </w:rPr>
      </w:pPr>
      <w:r w:rsidRPr="00801C6D">
        <w:rPr>
          <w:rFonts w:ascii="Arial" w:hAnsi="Arial" w:cs="Arial"/>
          <w:sz w:val="20"/>
          <w:szCs w:val="20"/>
        </w:rPr>
        <w:t xml:space="preserve">Viscosity is an important characteristic of fluids that measures their ability to resist deformation or flow when subjected to shear stress. The knowledge of viscosity is crucial in various professions and industries because it provides valuable information about the behaviour and performance of fluids. The relationship between the deformation rate and shear stress in non-Newtonian fluids is more complex. </w:t>
      </w:r>
      <w:r w:rsidRPr="00801C6D">
        <w:rPr>
          <w:rFonts w:ascii="Arial" w:hAnsi="Arial" w:cs="Arial"/>
          <w:sz w:val="20"/>
          <w:szCs w:val="20"/>
        </w:rPr>
        <w:lastRenderedPageBreak/>
        <w:t xml:space="preserve">A fluid that does not follow Newton's law of viscosity is classified as having a non-Newtonian viscosity. According to Newton's law, there is a directly proportional relationship between the shear stress, the force per unit area, the rate of shear strain, and the velocity gradient experienced by a fluid. The microscopic observations of an oil-in-water emulsion consist of two distinct phases: the dispersed phase and the continuous phase. The term "dispersed phase" refers to the tiny droplets of oil suspended in the continuous phase, the water phase. The dispersed </w:t>
      </w:r>
      <w:r w:rsidRPr="00C83771">
        <w:rPr>
          <w:rFonts w:ascii="Arial" w:hAnsi="Arial" w:cs="Arial"/>
          <w:sz w:val="20"/>
          <w:szCs w:val="20"/>
        </w:rPr>
        <w:t xml:space="preserve">phase consists of small droplets or particles of oil that are uniformly distributed throughout the water medium (Deuschle </w:t>
      </w:r>
      <w:r w:rsidRPr="00C83771">
        <w:rPr>
          <w:rFonts w:ascii="Arial" w:hAnsi="Arial" w:cs="Arial"/>
          <w:i/>
          <w:iCs/>
          <w:sz w:val="20"/>
          <w:szCs w:val="20"/>
        </w:rPr>
        <w:t>et al</w:t>
      </w:r>
      <w:r w:rsidRPr="00C83771">
        <w:rPr>
          <w:rFonts w:ascii="Arial" w:hAnsi="Arial" w:cs="Arial"/>
          <w:sz w:val="20"/>
          <w:szCs w:val="20"/>
        </w:rPr>
        <w:t xml:space="preserve">., 2015; Chaudhari </w:t>
      </w:r>
      <w:r w:rsidRPr="00C83771">
        <w:rPr>
          <w:rFonts w:ascii="Arial" w:hAnsi="Arial" w:cs="Arial"/>
          <w:i/>
          <w:iCs/>
          <w:sz w:val="20"/>
          <w:szCs w:val="20"/>
        </w:rPr>
        <w:t>et al</w:t>
      </w:r>
      <w:r w:rsidRPr="00C83771">
        <w:rPr>
          <w:rFonts w:ascii="Arial" w:hAnsi="Arial" w:cs="Arial"/>
          <w:sz w:val="20"/>
          <w:szCs w:val="20"/>
        </w:rPr>
        <w:t>., 2025).</w:t>
      </w:r>
    </w:p>
    <w:p w14:paraId="57AE1223" w14:textId="77777777" w:rsidR="00AE2A46" w:rsidRPr="00C83771" w:rsidRDefault="00AE2A46" w:rsidP="00AE2A46">
      <w:pPr>
        <w:spacing w:after="120" w:line="276" w:lineRule="auto"/>
        <w:jc w:val="both"/>
        <w:rPr>
          <w:rFonts w:ascii="Arial" w:hAnsi="Arial" w:cs="Arial"/>
          <w:sz w:val="20"/>
          <w:szCs w:val="20"/>
        </w:rPr>
      </w:pPr>
      <w:r w:rsidRPr="00C83771">
        <w:rPr>
          <w:rFonts w:ascii="Arial" w:hAnsi="Arial" w:cs="Arial"/>
          <w:sz w:val="20"/>
          <w:szCs w:val="20"/>
        </w:rPr>
        <w:t xml:space="preserve">Typically, the topical cream's stability should be tested at different temperature storage conditions to ensure its quality. According to Kirkbride </w:t>
      </w:r>
      <w:r w:rsidRPr="00C83771">
        <w:rPr>
          <w:rFonts w:ascii="Arial" w:hAnsi="Arial" w:cs="Arial"/>
          <w:i/>
          <w:iCs/>
          <w:sz w:val="20"/>
          <w:szCs w:val="20"/>
        </w:rPr>
        <w:t>et al</w:t>
      </w:r>
      <w:r w:rsidRPr="00C83771">
        <w:rPr>
          <w:rFonts w:ascii="Arial" w:hAnsi="Arial" w:cs="Arial"/>
          <w:sz w:val="20"/>
          <w:szCs w:val="20"/>
        </w:rPr>
        <w:t xml:space="preserve"> (2021), the objective of conducting long-term stability testing on cosmetic products is to assess their quality and effectiveness throughout their intended shelf life, typically 12 months or longer. All three observed formulations do not have a separation phase, and their colour remains unchanged. The pH value was measured, and although there was a slight change, it still fell within the safe range of 5.5-6.5 (Dantas </w:t>
      </w:r>
      <w:r w:rsidRPr="00C83771">
        <w:rPr>
          <w:rFonts w:ascii="Arial" w:hAnsi="Arial" w:cs="Arial"/>
          <w:i/>
          <w:iCs/>
          <w:sz w:val="20"/>
          <w:szCs w:val="20"/>
        </w:rPr>
        <w:t>et al</w:t>
      </w:r>
      <w:r w:rsidRPr="00C83771">
        <w:rPr>
          <w:rFonts w:ascii="Arial" w:hAnsi="Arial" w:cs="Arial"/>
          <w:sz w:val="20"/>
          <w:szCs w:val="20"/>
        </w:rPr>
        <w:t>., 2016). The cycling stability test</w:t>
      </w:r>
      <w:r w:rsidRPr="00801C6D">
        <w:rPr>
          <w:rFonts w:ascii="Arial" w:hAnsi="Arial" w:cs="Arial"/>
          <w:sz w:val="20"/>
          <w:szCs w:val="20"/>
        </w:rPr>
        <w:t xml:space="preserve"> was developed to assess a product's ability to withstand repeated or cyclic changes in environmental conditions and evaluate its performance and durability. A cycling test is a valuable tool in determining a product's performance under real-life conditions that it may encounter during its use or </w:t>
      </w:r>
      <w:r w:rsidRPr="00C83771">
        <w:rPr>
          <w:rFonts w:ascii="Arial" w:hAnsi="Arial" w:cs="Arial"/>
          <w:sz w:val="20"/>
          <w:szCs w:val="20"/>
        </w:rPr>
        <w:t xml:space="preserve">storage. This test can effectively identify potential failures or degradation over time (Anand </w:t>
      </w:r>
      <w:r w:rsidRPr="00C83771">
        <w:rPr>
          <w:rFonts w:ascii="Arial" w:hAnsi="Arial" w:cs="Arial"/>
          <w:i/>
          <w:iCs/>
          <w:sz w:val="20"/>
          <w:szCs w:val="20"/>
        </w:rPr>
        <w:t>et al</w:t>
      </w:r>
      <w:r w:rsidRPr="00C83771">
        <w:rPr>
          <w:rFonts w:ascii="Arial" w:hAnsi="Arial" w:cs="Arial"/>
          <w:sz w:val="20"/>
          <w:szCs w:val="20"/>
        </w:rPr>
        <w:t xml:space="preserve">., 2021). In a study conducted by Weingarth </w:t>
      </w:r>
      <w:r w:rsidRPr="00C83771">
        <w:rPr>
          <w:rFonts w:ascii="Arial" w:hAnsi="Arial" w:cs="Arial"/>
          <w:i/>
          <w:iCs/>
          <w:sz w:val="20"/>
          <w:szCs w:val="20"/>
        </w:rPr>
        <w:t>et al</w:t>
      </w:r>
      <w:r w:rsidRPr="00C83771">
        <w:rPr>
          <w:rFonts w:ascii="Arial" w:hAnsi="Arial" w:cs="Arial"/>
          <w:sz w:val="20"/>
          <w:szCs w:val="20"/>
        </w:rPr>
        <w:t xml:space="preserve">. (2013), performing a cycling test can help identify the most effective operational range and limitations of a product. The pH values obtained during the cycling test remained within the range of 5.5 to 6.5. Based on the physical stability observations over six cycles, it can be concluded that the cream formulation is stable. This is supported by the fact that the colour of all formulations remained unchanged, and no phase separation was observed. </w:t>
      </w:r>
    </w:p>
    <w:p w14:paraId="4BFAA3FA" w14:textId="77777777" w:rsidR="00AE2A46" w:rsidRPr="00801C6D" w:rsidRDefault="00AE2A46" w:rsidP="00AE2A46">
      <w:pPr>
        <w:spacing w:after="120" w:line="276" w:lineRule="auto"/>
        <w:jc w:val="both"/>
        <w:rPr>
          <w:rFonts w:ascii="Arial" w:hAnsi="Arial" w:cs="Arial"/>
          <w:sz w:val="20"/>
          <w:szCs w:val="20"/>
        </w:rPr>
      </w:pPr>
      <w:r w:rsidRPr="00C83771">
        <w:rPr>
          <w:rFonts w:ascii="Arial" w:hAnsi="Arial" w:cs="Arial"/>
          <w:sz w:val="20"/>
          <w:szCs w:val="20"/>
        </w:rPr>
        <w:t xml:space="preserve">The FTIR is a highly versatile analytical technique that is widely utilized. This technique can offer valuable insights into the molecular structure of both organic and inorganic components. This method is frequently used for chemical characterization and is non-destructive. Chen </w:t>
      </w:r>
      <w:r w:rsidRPr="00C83771">
        <w:rPr>
          <w:rFonts w:ascii="Arial" w:hAnsi="Arial" w:cs="Arial"/>
          <w:i/>
          <w:iCs/>
          <w:sz w:val="20"/>
          <w:szCs w:val="20"/>
        </w:rPr>
        <w:t>et al</w:t>
      </w:r>
      <w:r w:rsidRPr="00C83771">
        <w:rPr>
          <w:rFonts w:ascii="Arial" w:hAnsi="Arial" w:cs="Arial"/>
          <w:sz w:val="20"/>
          <w:szCs w:val="20"/>
        </w:rPr>
        <w:t xml:space="preserve"> (2015) explain that the FTIR technique detects transitions between quantized vibrational energy states. According to Parikh and Chorover (2005), during FTIR analysis, a molecule absorbs infrared (IR) radiation when it receives a photon, which causes it to become excited and move to a higher energy state. Molecules in an excited state exhibit various movements, including stretching, bending, twisting, rocking, wagging, and out-of-plane deformation, resulting from the vibration of their bonds. Vibrations occur at different frequencies or wavenumbers within the light spectrum's IR (ion). Each IR absorbance peak appears at a specific wavenumber based on the fundamental vibrational properties of the molecule, which are governed by the type of chemical bonds, their strengths, and the functional groups present. Chen </w:t>
      </w:r>
      <w:r w:rsidRPr="00C83771">
        <w:rPr>
          <w:rFonts w:ascii="Arial" w:hAnsi="Arial" w:cs="Arial"/>
          <w:i/>
          <w:iCs/>
          <w:sz w:val="20"/>
          <w:szCs w:val="20"/>
        </w:rPr>
        <w:t>et al</w:t>
      </w:r>
      <w:r w:rsidRPr="00C83771">
        <w:rPr>
          <w:rFonts w:ascii="Arial" w:hAnsi="Arial" w:cs="Arial"/>
          <w:sz w:val="20"/>
          <w:szCs w:val="20"/>
        </w:rPr>
        <w:t xml:space="preserve"> (2015) stated that this tool functions as a diagnostic tool, like a fingerprint, for identifying the corresponding functional group. Various functional groups corresponding to the active ingredients used were observed to confirm the physical attributes</w:t>
      </w:r>
      <w:r w:rsidRPr="00801C6D">
        <w:rPr>
          <w:rFonts w:ascii="Arial" w:hAnsi="Arial" w:cs="Arial"/>
          <w:sz w:val="20"/>
          <w:szCs w:val="20"/>
        </w:rPr>
        <w:t xml:space="preserve"> of the formulations.</w:t>
      </w:r>
    </w:p>
    <w:p w14:paraId="697190CC" w14:textId="7EA74BA2" w:rsidR="00AE2A46" w:rsidRDefault="00AE2A46" w:rsidP="00574E65">
      <w:pPr>
        <w:spacing w:line="276" w:lineRule="auto"/>
        <w:jc w:val="both"/>
        <w:rPr>
          <w:rFonts w:ascii="Arial" w:hAnsi="Arial" w:cs="Arial"/>
          <w:sz w:val="20"/>
          <w:szCs w:val="20"/>
        </w:rPr>
      </w:pPr>
      <w:r w:rsidRPr="00801C6D">
        <w:rPr>
          <w:rFonts w:ascii="Arial" w:hAnsi="Arial" w:cs="Arial"/>
          <w:sz w:val="20"/>
          <w:szCs w:val="20"/>
        </w:rPr>
        <w:t xml:space="preserve">The absence of inhibition observed in our formulations may be due to the concentration of active constituents being below the effective antibacterial threshold. Similar studies have used other plant extracts, such as Rosa spp. (MIC 3.125–500 mg/mL) and avocado peel or basil leaf extracts tested at multiple concentrations demonstrate that sufficiently high concentrations are typically necessary to achieve measurable antibacterial </w:t>
      </w:r>
      <w:r w:rsidRPr="002D560F">
        <w:rPr>
          <w:rFonts w:ascii="Arial" w:hAnsi="Arial" w:cs="Arial"/>
          <w:sz w:val="20"/>
          <w:szCs w:val="20"/>
        </w:rPr>
        <w:t xml:space="preserve">activity </w:t>
      </w:r>
      <w:r w:rsidR="00DB4CFC" w:rsidRPr="002D560F">
        <w:rPr>
          <w:rFonts w:ascii="Arial" w:hAnsi="Arial" w:cs="Arial"/>
          <w:sz w:val="20"/>
          <w:szCs w:val="20"/>
        </w:rPr>
        <w:t xml:space="preserve">(Milala et al., 2021; </w:t>
      </w:r>
      <w:r w:rsidRPr="002D560F">
        <w:rPr>
          <w:rFonts w:ascii="Arial" w:hAnsi="Arial" w:cs="Arial"/>
          <w:sz w:val="20"/>
          <w:szCs w:val="20"/>
        </w:rPr>
        <w:t>Susanti</w:t>
      </w:r>
      <w:r w:rsidRPr="00C83771">
        <w:rPr>
          <w:rFonts w:ascii="Arial" w:hAnsi="Arial" w:cs="Arial"/>
          <w:sz w:val="20"/>
          <w:szCs w:val="20"/>
        </w:rPr>
        <w:t xml:space="preserve"> </w:t>
      </w:r>
      <w:r w:rsidRPr="00C83771">
        <w:rPr>
          <w:rFonts w:ascii="Arial" w:hAnsi="Arial" w:cs="Arial"/>
          <w:i/>
          <w:iCs/>
          <w:sz w:val="20"/>
          <w:szCs w:val="20"/>
        </w:rPr>
        <w:t>et al</w:t>
      </w:r>
      <w:r w:rsidRPr="00C83771">
        <w:rPr>
          <w:rFonts w:ascii="Arial" w:hAnsi="Arial" w:cs="Arial"/>
          <w:sz w:val="20"/>
          <w:szCs w:val="20"/>
        </w:rPr>
        <w:t>., 2024). Thus, this</w:t>
      </w:r>
      <w:r w:rsidRPr="00801C6D">
        <w:rPr>
          <w:rFonts w:ascii="Arial" w:hAnsi="Arial" w:cs="Arial"/>
          <w:sz w:val="20"/>
          <w:szCs w:val="20"/>
        </w:rPr>
        <w:t xml:space="preserve"> study can be considered preliminary findings for future studies.</w:t>
      </w:r>
    </w:p>
    <w:p w14:paraId="6D2CB409" w14:textId="77777777" w:rsidR="00574E65" w:rsidRPr="00801C6D" w:rsidRDefault="00574E65" w:rsidP="00574E65">
      <w:pPr>
        <w:spacing w:line="276" w:lineRule="auto"/>
        <w:jc w:val="both"/>
        <w:rPr>
          <w:rFonts w:ascii="Arial" w:hAnsi="Arial" w:cs="Arial"/>
          <w:sz w:val="20"/>
          <w:szCs w:val="20"/>
        </w:rPr>
      </w:pPr>
    </w:p>
    <w:bookmarkEnd w:id="2"/>
    <w:p w14:paraId="44CCE04A" w14:textId="77777777" w:rsidR="00AE2A46" w:rsidRPr="00801C6D" w:rsidRDefault="00AE2A46" w:rsidP="00AE2A46">
      <w:pPr>
        <w:spacing w:after="120" w:line="276" w:lineRule="auto"/>
        <w:jc w:val="both"/>
        <w:rPr>
          <w:rFonts w:ascii="Arial" w:hAnsi="Arial" w:cs="Arial"/>
          <w:b/>
          <w:bCs/>
          <w:sz w:val="20"/>
          <w:szCs w:val="20"/>
        </w:rPr>
      </w:pPr>
      <w:r w:rsidRPr="00801C6D">
        <w:rPr>
          <w:rFonts w:ascii="Arial" w:hAnsi="Arial" w:cs="Arial"/>
          <w:b/>
          <w:bCs/>
          <w:sz w:val="20"/>
          <w:szCs w:val="20"/>
        </w:rPr>
        <w:t xml:space="preserve">Conclusion </w:t>
      </w:r>
    </w:p>
    <w:p w14:paraId="02C54C3B" w14:textId="77777777" w:rsidR="00AE2A46" w:rsidRPr="00801C6D" w:rsidRDefault="00AE2A46" w:rsidP="00AE2A46">
      <w:pPr>
        <w:spacing w:after="120" w:line="276" w:lineRule="auto"/>
        <w:jc w:val="both"/>
        <w:rPr>
          <w:rFonts w:ascii="Arial" w:hAnsi="Arial" w:cs="Arial"/>
          <w:sz w:val="20"/>
          <w:szCs w:val="20"/>
        </w:rPr>
      </w:pPr>
      <w:bookmarkStart w:id="4" w:name="_Hlk161257561"/>
      <w:r w:rsidRPr="00801C6D">
        <w:rPr>
          <w:rFonts w:ascii="Arial" w:hAnsi="Arial" w:cs="Arial"/>
          <w:sz w:val="20"/>
          <w:szCs w:val="20"/>
        </w:rPr>
        <w:t xml:space="preserve">Stable topical emulsions containing rosehip and avocado oils were successfully developed, exhibiting skin-friendly pH, excellent spreadability, and desirable pseudoplastic flow for smooth application. The formulations remained stable under varied conditions, confirming their suitability for cosmetic use. Although no antibacterial activity against </w:t>
      </w:r>
      <w:r w:rsidRPr="00F131FF">
        <w:rPr>
          <w:rFonts w:ascii="Arial" w:hAnsi="Arial" w:cs="Arial"/>
          <w:i/>
          <w:iCs/>
          <w:sz w:val="20"/>
          <w:szCs w:val="20"/>
        </w:rPr>
        <w:t>S. epidermidis</w:t>
      </w:r>
      <w:r w:rsidRPr="00801C6D">
        <w:rPr>
          <w:rFonts w:ascii="Arial" w:hAnsi="Arial" w:cs="Arial"/>
          <w:sz w:val="20"/>
          <w:szCs w:val="20"/>
        </w:rPr>
        <w:t xml:space="preserve"> was observed, the creams demonstrate promise as safe and effective moisturisers, with potential for enhanced functionality through higher concentrations or additional actives.</w:t>
      </w:r>
    </w:p>
    <w:p w14:paraId="660A22A3" w14:textId="77777777" w:rsidR="00AE2A46" w:rsidRPr="00801C6D" w:rsidRDefault="00AE2A46" w:rsidP="00AE2A46">
      <w:pPr>
        <w:spacing w:after="120" w:line="276" w:lineRule="auto"/>
        <w:jc w:val="both"/>
        <w:rPr>
          <w:rFonts w:ascii="Arial" w:hAnsi="Arial" w:cs="Arial"/>
          <w:b/>
          <w:bCs/>
          <w:sz w:val="20"/>
          <w:szCs w:val="20"/>
        </w:rPr>
      </w:pPr>
      <w:r w:rsidRPr="00801C6D">
        <w:rPr>
          <w:rFonts w:ascii="Arial" w:hAnsi="Arial" w:cs="Arial"/>
          <w:b/>
          <w:bCs/>
          <w:sz w:val="20"/>
          <w:szCs w:val="20"/>
        </w:rPr>
        <w:lastRenderedPageBreak/>
        <w:t xml:space="preserve">Conflicts of </w:t>
      </w:r>
      <w:r>
        <w:rPr>
          <w:rFonts w:ascii="Arial" w:hAnsi="Arial" w:cs="Arial"/>
          <w:b/>
          <w:bCs/>
          <w:sz w:val="20"/>
          <w:szCs w:val="20"/>
        </w:rPr>
        <w:t>I</w:t>
      </w:r>
      <w:r w:rsidRPr="00801C6D">
        <w:rPr>
          <w:rFonts w:ascii="Arial" w:hAnsi="Arial" w:cs="Arial"/>
          <w:b/>
          <w:bCs/>
          <w:sz w:val="20"/>
          <w:szCs w:val="20"/>
        </w:rPr>
        <w:t>nterest</w:t>
      </w:r>
    </w:p>
    <w:p w14:paraId="2DDFB1B1" w14:textId="77777777" w:rsidR="00AE2A46" w:rsidRDefault="00AE2A46" w:rsidP="00574E65">
      <w:pPr>
        <w:autoSpaceDE w:val="0"/>
        <w:autoSpaceDN w:val="0"/>
        <w:adjustRightInd w:val="0"/>
        <w:spacing w:line="276" w:lineRule="auto"/>
        <w:jc w:val="both"/>
        <w:rPr>
          <w:rFonts w:ascii="Arial" w:hAnsi="Arial" w:cs="Arial"/>
          <w:bCs/>
          <w:sz w:val="20"/>
          <w:szCs w:val="20"/>
          <w:lang w:val="en-GB"/>
        </w:rPr>
      </w:pPr>
      <w:r w:rsidRPr="00EB3258">
        <w:rPr>
          <w:rFonts w:ascii="Arial" w:hAnsi="Arial" w:cs="Arial"/>
          <w:bCs/>
          <w:sz w:val="20"/>
          <w:szCs w:val="20"/>
          <w:lang w:val="en-GB"/>
        </w:rPr>
        <w:t xml:space="preserve">The authors declared that they have </w:t>
      </w:r>
      <w:r>
        <w:rPr>
          <w:rFonts w:ascii="Arial" w:hAnsi="Arial" w:cs="Arial"/>
          <w:bCs/>
          <w:sz w:val="20"/>
          <w:szCs w:val="20"/>
          <w:lang w:val="en-GB"/>
        </w:rPr>
        <w:t xml:space="preserve">not </w:t>
      </w:r>
      <w:r w:rsidRPr="00EB3258">
        <w:rPr>
          <w:rFonts w:ascii="Arial" w:hAnsi="Arial" w:cs="Arial"/>
          <w:bCs/>
          <w:sz w:val="20"/>
          <w:szCs w:val="20"/>
          <w:lang w:val="en-GB"/>
        </w:rPr>
        <w:t>any conflict of interest.</w:t>
      </w:r>
    </w:p>
    <w:p w14:paraId="0F9993F2" w14:textId="77777777" w:rsidR="00574E65" w:rsidRPr="00EB3258" w:rsidRDefault="00574E65" w:rsidP="00574E65">
      <w:pPr>
        <w:autoSpaceDE w:val="0"/>
        <w:autoSpaceDN w:val="0"/>
        <w:adjustRightInd w:val="0"/>
        <w:spacing w:line="276" w:lineRule="auto"/>
        <w:jc w:val="both"/>
        <w:rPr>
          <w:rFonts w:ascii="Arial" w:hAnsi="Arial" w:cs="Arial"/>
          <w:bCs/>
          <w:sz w:val="20"/>
          <w:szCs w:val="20"/>
          <w:lang w:val="en-GB"/>
        </w:rPr>
      </w:pPr>
    </w:p>
    <w:p w14:paraId="79B0A20C" w14:textId="7F624F17" w:rsidR="00AE2A46" w:rsidRPr="00801C6D" w:rsidRDefault="00AE2A46" w:rsidP="00AE2A46">
      <w:pPr>
        <w:spacing w:after="120" w:line="276" w:lineRule="auto"/>
        <w:jc w:val="both"/>
        <w:rPr>
          <w:rFonts w:ascii="Arial" w:hAnsi="Arial" w:cs="Arial"/>
          <w:b/>
          <w:bCs/>
          <w:sz w:val="20"/>
          <w:szCs w:val="20"/>
        </w:rPr>
      </w:pPr>
      <w:r w:rsidRPr="00801C6D">
        <w:rPr>
          <w:rFonts w:ascii="Arial" w:hAnsi="Arial" w:cs="Arial"/>
          <w:b/>
          <w:bCs/>
          <w:sz w:val="20"/>
          <w:szCs w:val="20"/>
        </w:rPr>
        <w:t>Acknowledgement</w:t>
      </w:r>
    </w:p>
    <w:p w14:paraId="0845A2E5" w14:textId="77777777" w:rsidR="00AE2A46" w:rsidRDefault="00AE2A46" w:rsidP="00574E65">
      <w:pPr>
        <w:spacing w:line="276" w:lineRule="auto"/>
        <w:jc w:val="both"/>
        <w:rPr>
          <w:rFonts w:ascii="Arial" w:hAnsi="Arial" w:cs="Arial"/>
          <w:sz w:val="20"/>
          <w:szCs w:val="20"/>
        </w:rPr>
      </w:pPr>
      <w:r w:rsidRPr="00801C6D">
        <w:rPr>
          <w:rFonts w:ascii="Arial" w:hAnsi="Arial" w:cs="Arial"/>
          <w:sz w:val="20"/>
          <w:szCs w:val="20"/>
        </w:rPr>
        <w:t>The authors thank the Management and Science University, Shah Alam and Faculty of Pharmacy and Health Sciences, Royal College of Medicine Perak, Universiti Kuala Lumpur for supporting the study.</w:t>
      </w:r>
    </w:p>
    <w:p w14:paraId="0B216C20" w14:textId="77777777" w:rsidR="00574E65" w:rsidRPr="00801C6D" w:rsidRDefault="00574E65" w:rsidP="00574E65">
      <w:pPr>
        <w:spacing w:line="276" w:lineRule="auto"/>
        <w:jc w:val="both"/>
        <w:rPr>
          <w:rFonts w:ascii="Arial" w:hAnsi="Arial" w:cs="Arial"/>
          <w:sz w:val="20"/>
          <w:szCs w:val="20"/>
        </w:rPr>
      </w:pPr>
    </w:p>
    <w:p w14:paraId="7286DA78" w14:textId="77777777" w:rsidR="00AE2A46" w:rsidRPr="00801C6D" w:rsidRDefault="00AE2A46" w:rsidP="00AE2A46">
      <w:pPr>
        <w:spacing w:after="120"/>
        <w:jc w:val="both"/>
        <w:rPr>
          <w:rFonts w:ascii="Arial" w:hAnsi="Arial" w:cs="Arial"/>
          <w:b/>
          <w:bCs/>
          <w:sz w:val="20"/>
          <w:szCs w:val="20"/>
        </w:rPr>
      </w:pPr>
      <w:r w:rsidRPr="00801C6D">
        <w:rPr>
          <w:rFonts w:ascii="Arial" w:hAnsi="Arial" w:cs="Arial"/>
          <w:b/>
          <w:bCs/>
          <w:sz w:val="20"/>
          <w:szCs w:val="20"/>
        </w:rPr>
        <w:t xml:space="preserve">References </w:t>
      </w:r>
    </w:p>
    <w:p w14:paraId="3A781F09" w14:textId="77777777" w:rsidR="00AE2A46" w:rsidRPr="00574E65" w:rsidRDefault="00AE2A46" w:rsidP="00AE2A46">
      <w:pPr>
        <w:spacing w:after="120"/>
        <w:jc w:val="both"/>
        <w:rPr>
          <w:rFonts w:ascii="Arial" w:hAnsi="Arial" w:cs="Arial"/>
          <w:sz w:val="18"/>
          <w:szCs w:val="18"/>
        </w:rPr>
      </w:pPr>
      <w:r w:rsidRPr="00574E65">
        <w:rPr>
          <w:rFonts w:ascii="Arial" w:hAnsi="Arial" w:cs="Arial"/>
          <w:sz w:val="18"/>
          <w:szCs w:val="18"/>
          <w:lang w:val="en-IN"/>
        </w:rPr>
        <w:t xml:space="preserve">Anand, A., Shukla, A., Kumar, A., Buddhi, D., &amp; Sharma, A. (2021). Cycle test stability and corrosion evaluation of phase change materials used in thermal energy storage systems. </w:t>
      </w:r>
      <w:r w:rsidRPr="00574E65">
        <w:rPr>
          <w:rFonts w:ascii="Arial" w:hAnsi="Arial" w:cs="Arial"/>
          <w:i/>
          <w:iCs/>
          <w:sz w:val="18"/>
          <w:szCs w:val="18"/>
          <w:lang w:val="en-IN"/>
        </w:rPr>
        <w:t>Journal of Energy Storage</w:t>
      </w:r>
      <w:r w:rsidRPr="00574E65">
        <w:rPr>
          <w:rFonts w:ascii="Arial" w:hAnsi="Arial" w:cs="Arial"/>
          <w:sz w:val="18"/>
          <w:szCs w:val="18"/>
          <w:lang w:val="en-IN"/>
        </w:rPr>
        <w:t xml:space="preserve">, </w:t>
      </w:r>
      <w:r w:rsidRPr="00574E65">
        <w:rPr>
          <w:rFonts w:ascii="Arial" w:hAnsi="Arial" w:cs="Arial"/>
          <w:i/>
          <w:iCs/>
          <w:sz w:val="18"/>
          <w:szCs w:val="18"/>
          <w:lang w:val="en-IN"/>
        </w:rPr>
        <w:t>39</w:t>
      </w:r>
      <w:r w:rsidRPr="00574E65">
        <w:rPr>
          <w:rFonts w:ascii="Arial" w:hAnsi="Arial" w:cs="Arial"/>
          <w:sz w:val="18"/>
          <w:szCs w:val="18"/>
          <w:lang w:val="en-IN"/>
        </w:rPr>
        <w:t xml:space="preserve">, 102664. </w:t>
      </w:r>
      <w:hyperlink r:id="rId26" w:history="1">
        <w:r w:rsidRPr="00574E65">
          <w:rPr>
            <w:rStyle w:val="Hyperlink"/>
            <w:rFonts w:ascii="Arial" w:hAnsi="Arial" w:cs="Arial"/>
            <w:sz w:val="18"/>
            <w:szCs w:val="18"/>
          </w:rPr>
          <w:t>https://doi.org/10.1016/j.est.2021.102664</w:t>
        </w:r>
      </w:hyperlink>
    </w:p>
    <w:p w14:paraId="2D4B7669" w14:textId="77777777" w:rsidR="00AE2A46" w:rsidRPr="00574E65" w:rsidRDefault="00AE2A46" w:rsidP="00AE2A46">
      <w:pPr>
        <w:spacing w:after="120"/>
        <w:jc w:val="both"/>
        <w:rPr>
          <w:rFonts w:ascii="Arial" w:hAnsi="Arial" w:cs="Arial"/>
          <w:sz w:val="18"/>
          <w:szCs w:val="18"/>
        </w:rPr>
      </w:pPr>
      <w:r w:rsidRPr="00574E65">
        <w:rPr>
          <w:rFonts w:ascii="Arial" w:hAnsi="Arial" w:cs="Arial"/>
          <w:sz w:val="18"/>
          <w:szCs w:val="18"/>
          <w:lang w:val="en-IN"/>
        </w:rPr>
        <w:t xml:space="preserve">Buranasukhon, W., Athikomkulchai, S., Tadtong, S., &amp; Chittasupho, C. (2017). Wound healing activity of Pluchea indica leaf extract in oral mucosal cell line and oral spray formulation containing nanoparticles of the extract. </w:t>
      </w:r>
      <w:r w:rsidRPr="00574E65">
        <w:rPr>
          <w:rFonts w:ascii="Arial" w:hAnsi="Arial" w:cs="Arial"/>
          <w:i/>
          <w:iCs/>
          <w:sz w:val="18"/>
          <w:szCs w:val="18"/>
          <w:lang w:val="en-IN"/>
        </w:rPr>
        <w:t>Pharmaceutical Biology</w:t>
      </w:r>
      <w:r w:rsidRPr="00574E65">
        <w:rPr>
          <w:rFonts w:ascii="Arial" w:hAnsi="Arial" w:cs="Arial"/>
          <w:sz w:val="18"/>
          <w:szCs w:val="18"/>
          <w:lang w:val="en-IN"/>
        </w:rPr>
        <w:t xml:space="preserve">, </w:t>
      </w:r>
      <w:r w:rsidRPr="00574E65">
        <w:rPr>
          <w:rFonts w:ascii="Arial" w:hAnsi="Arial" w:cs="Arial"/>
          <w:i/>
          <w:iCs/>
          <w:sz w:val="18"/>
          <w:szCs w:val="18"/>
          <w:lang w:val="en-IN"/>
        </w:rPr>
        <w:t>55</w:t>
      </w:r>
      <w:r w:rsidRPr="00574E65">
        <w:rPr>
          <w:rFonts w:ascii="Arial" w:hAnsi="Arial" w:cs="Arial"/>
          <w:sz w:val="18"/>
          <w:szCs w:val="18"/>
          <w:lang w:val="en-IN"/>
        </w:rPr>
        <w:t xml:space="preserve">(1), 1767-1774. </w:t>
      </w:r>
      <w:hyperlink r:id="rId27" w:history="1">
        <w:r w:rsidRPr="00574E65">
          <w:rPr>
            <w:rStyle w:val="Hyperlink"/>
            <w:rFonts w:ascii="Arial" w:hAnsi="Arial" w:cs="Arial"/>
            <w:sz w:val="18"/>
            <w:szCs w:val="18"/>
          </w:rPr>
          <w:t>https://doi.org/10.1080/13880209.2017.1326511</w:t>
        </w:r>
      </w:hyperlink>
    </w:p>
    <w:p w14:paraId="430A6154" w14:textId="77777777" w:rsidR="00AE2A46" w:rsidRPr="00574E65" w:rsidRDefault="00AE2A46" w:rsidP="00AE2A46">
      <w:pPr>
        <w:spacing w:after="120"/>
        <w:jc w:val="both"/>
        <w:rPr>
          <w:rFonts w:ascii="Arial" w:hAnsi="Arial" w:cs="Arial"/>
          <w:sz w:val="18"/>
          <w:szCs w:val="18"/>
          <w:lang w:val="en-IN"/>
        </w:rPr>
      </w:pPr>
      <w:r w:rsidRPr="00574E65">
        <w:rPr>
          <w:rFonts w:ascii="Arial" w:hAnsi="Arial" w:cs="Arial"/>
          <w:sz w:val="18"/>
          <w:szCs w:val="18"/>
          <w:lang w:val="en-IN"/>
        </w:rPr>
        <w:t xml:space="preserve">Chaudhari, R. M., Chaudhari, R. S., &amp; Deore, K. R. (2025). Formulation and Evaluation of Herbal Moisturizing Cream. </w:t>
      </w:r>
      <w:r w:rsidRPr="00574E65">
        <w:rPr>
          <w:rFonts w:ascii="Arial" w:hAnsi="Arial" w:cs="Arial"/>
          <w:i/>
          <w:iCs/>
          <w:sz w:val="18"/>
          <w:szCs w:val="18"/>
          <w:lang w:val="en-IN"/>
        </w:rPr>
        <w:t>International Journal of Research in Pharmacy and Allied Science</w:t>
      </w:r>
      <w:r w:rsidRPr="00574E65">
        <w:rPr>
          <w:rFonts w:ascii="Arial" w:hAnsi="Arial" w:cs="Arial"/>
          <w:sz w:val="18"/>
          <w:szCs w:val="18"/>
          <w:lang w:val="en-IN"/>
        </w:rPr>
        <w:t xml:space="preserve">, </w:t>
      </w:r>
      <w:r w:rsidRPr="00574E65">
        <w:rPr>
          <w:rFonts w:ascii="Arial" w:hAnsi="Arial" w:cs="Arial"/>
          <w:i/>
          <w:iCs/>
          <w:sz w:val="18"/>
          <w:szCs w:val="18"/>
          <w:lang w:val="en-IN"/>
        </w:rPr>
        <w:t>4</w:t>
      </w:r>
      <w:r w:rsidRPr="00574E65">
        <w:rPr>
          <w:rFonts w:ascii="Arial" w:hAnsi="Arial" w:cs="Arial"/>
          <w:sz w:val="18"/>
          <w:szCs w:val="18"/>
          <w:lang w:val="en-IN"/>
        </w:rPr>
        <w:t xml:space="preserve">(5), 186-191. </w:t>
      </w:r>
      <w:hyperlink r:id="rId28" w:history="1">
        <w:r w:rsidRPr="00574E65">
          <w:rPr>
            <w:rStyle w:val="Hyperlink"/>
            <w:rFonts w:ascii="Arial" w:hAnsi="Arial" w:cs="Arial"/>
            <w:sz w:val="18"/>
            <w:szCs w:val="18"/>
          </w:rPr>
          <w:t>https://doi.org/10.22159/ijpps.2018v10i11.28645</w:t>
        </w:r>
      </w:hyperlink>
      <w:r w:rsidRPr="00574E65">
        <w:rPr>
          <w:rFonts w:ascii="Arial" w:hAnsi="Arial" w:cs="Arial"/>
          <w:sz w:val="18"/>
          <w:szCs w:val="18"/>
        </w:rPr>
        <w:t xml:space="preserve"> </w:t>
      </w:r>
    </w:p>
    <w:p w14:paraId="00449C6D" w14:textId="77777777" w:rsidR="00AE2A46" w:rsidRPr="00574E65" w:rsidRDefault="00AE2A46" w:rsidP="00AE2A46">
      <w:pPr>
        <w:spacing w:after="120"/>
        <w:jc w:val="both"/>
        <w:rPr>
          <w:rFonts w:ascii="Arial" w:hAnsi="Arial" w:cs="Arial"/>
          <w:sz w:val="18"/>
          <w:szCs w:val="18"/>
          <w:lang w:val="en-IN"/>
        </w:rPr>
      </w:pPr>
      <w:r w:rsidRPr="00574E65">
        <w:rPr>
          <w:rFonts w:ascii="Arial" w:hAnsi="Arial" w:cs="Arial"/>
          <w:sz w:val="18"/>
          <w:szCs w:val="18"/>
          <w:lang w:val="en-IN"/>
        </w:rPr>
        <w:t xml:space="preserve">Chen, M. X., Alexander, K. S., &amp; Baki, G. (2016). Formulation and evaluation of antibacterial creams and gels containing metal ions for topical application. </w:t>
      </w:r>
      <w:r w:rsidRPr="00574E65">
        <w:rPr>
          <w:rFonts w:ascii="Arial" w:hAnsi="Arial" w:cs="Arial"/>
          <w:i/>
          <w:iCs/>
          <w:sz w:val="18"/>
          <w:szCs w:val="18"/>
          <w:lang w:val="en-IN"/>
        </w:rPr>
        <w:t>Journal of Pharmaceutics</w:t>
      </w:r>
      <w:r w:rsidRPr="00574E65">
        <w:rPr>
          <w:rFonts w:ascii="Arial" w:hAnsi="Arial" w:cs="Arial"/>
          <w:sz w:val="18"/>
          <w:szCs w:val="18"/>
          <w:lang w:val="en-IN"/>
        </w:rPr>
        <w:t xml:space="preserve">, </w:t>
      </w:r>
      <w:r w:rsidRPr="00574E65">
        <w:rPr>
          <w:rFonts w:ascii="Arial" w:hAnsi="Arial" w:cs="Arial"/>
          <w:i/>
          <w:iCs/>
          <w:sz w:val="18"/>
          <w:szCs w:val="18"/>
          <w:lang w:val="en-IN"/>
        </w:rPr>
        <w:t>2016</w:t>
      </w:r>
      <w:r w:rsidRPr="00574E65">
        <w:rPr>
          <w:rFonts w:ascii="Arial" w:hAnsi="Arial" w:cs="Arial"/>
          <w:sz w:val="18"/>
          <w:szCs w:val="18"/>
          <w:lang w:val="en-IN"/>
        </w:rPr>
        <w:t xml:space="preserve">, 5754349. </w:t>
      </w:r>
      <w:hyperlink r:id="rId29" w:history="1">
        <w:r w:rsidRPr="00574E65">
          <w:rPr>
            <w:rStyle w:val="Hyperlink"/>
            <w:rFonts w:ascii="Arial" w:hAnsi="Arial" w:cs="Arial"/>
            <w:sz w:val="18"/>
            <w:szCs w:val="18"/>
            <w:lang w:val="en-IN"/>
          </w:rPr>
          <w:t>https://doi.org/10.1155/2016/5754349</w:t>
        </w:r>
      </w:hyperlink>
      <w:r w:rsidRPr="00574E65">
        <w:rPr>
          <w:rFonts w:ascii="Arial" w:hAnsi="Arial" w:cs="Arial"/>
          <w:sz w:val="18"/>
          <w:szCs w:val="18"/>
          <w:lang w:val="en-IN"/>
        </w:rPr>
        <w:t xml:space="preserve"> </w:t>
      </w:r>
    </w:p>
    <w:p w14:paraId="6331AAF5" w14:textId="77777777" w:rsidR="00AE2A46" w:rsidRPr="00574E65" w:rsidRDefault="00AE2A46" w:rsidP="00AE2A46">
      <w:pPr>
        <w:spacing w:after="120"/>
        <w:jc w:val="both"/>
        <w:rPr>
          <w:rFonts w:ascii="Arial" w:hAnsi="Arial" w:cs="Arial"/>
          <w:sz w:val="18"/>
          <w:szCs w:val="18"/>
        </w:rPr>
      </w:pPr>
      <w:r w:rsidRPr="00574E65">
        <w:rPr>
          <w:rFonts w:ascii="Arial" w:hAnsi="Arial" w:cs="Arial"/>
          <w:sz w:val="18"/>
          <w:szCs w:val="18"/>
          <w:lang w:val="en-IN"/>
        </w:rPr>
        <w:t xml:space="preserve">Chen, Y., Zou, C., Mastalerz, M., Hu, S., Gasaway, C., &amp; Tao, X. (2015). Applications of micro-fourier transform infrared spectroscopy (FTIR) in the geological sciences—a review. </w:t>
      </w:r>
      <w:r w:rsidRPr="00574E65">
        <w:rPr>
          <w:rFonts w:ascii="Arial" w:hAnsi="Arial" w:cs="Arial"/>
          <w:i/>
          <w:iCs/>
          <w:sz w:val="18"/>
          <w:szCs w:val="18"/>
          <w:lang w:val="en-IN"/>
        </w:rPr>
        <w:t>International Journal of Molecular Sciences</w:t>
      </w:r>
      <w:r w:rsidRPr="00574E65">
        <w:rPr>
          <w:rFonts w:ascii="Arial" w:hAnsi="Arial" w:cs="Arial"/>
          <w:sz w:val="18"/>
          <w:szCs w:val="18"/>
          <w:lang w:val="en-IN"/>
        </w:rPr>
        <w:t xml:space="preserve">, </w:t>
      </w:r>
      <w:r w:rsidRPr="00574E65">
        <w:rPr>
          <w:rFonts w:ascii="Arial" w:hAnsi="Arial" w:cs="Arial"/>
          <w:i/>
          <w:iCs/>
          <w:sz w:val="18"/>
          <w:szCs w:val="18"/>
          <w:lang w:val="en-IN"/>
        </w:rPr>
        <w:t>16</w:t>
      </w:r>
      <w:r w:rsidRPr="00574E65">
        <w:rPr>
          <w:rFonts w:ascii="Arial" w:hAnsi="Arial" w:cs="Arial"/>
          <w:sz w:val="18"/>
          <w:szCs w:val="18"/>
          <w:lang w:val="en-IN"/>
        </w:rPr>
        <w:t xml:space="preserve">(12), 30223-30250. </w:t>
      </w:r>
      <w:hyperlink r:id="rId30" w:history="1">
        <w:r w:rsidRPr="00574E65">
          <w:rPr>
            <w:rStyle w:val="Hyperlink"/>
            <w:rFonts w:ascii="Arial" w:hAnsi="Arial" w:cs="Arial"/>
            <w:sz w:val="18"/>
            <w:szCs w:val="18"/>
          </w:rPr>
          <w:t>https://doi.org/10.3390/ijms161226227</w:t>
        </w:r>
      </w:hyperlink>
    </w:p>
    <w:p w14:paraId="03785D0A" w14:textId="77777777" w:rsidR="00AE2A46" w:rsidRPr="00574E65" w:rsidRDefault="00AE2A46" w:rsidP="00AE2A46">
      <w:pPr>
        <w:spacing w:after="120"/>
        <w:jc w:val="both"/>
        <w:rPr>
          <w:rFonts w:ascii="Arial" w:hAnsi="Arial" w:cs="Arial"/>
          <w:sz w:val="18"/>
          <w:szCs w:val="18"/>
          <w:lang w:val="en-IN"/>
        </w:rPr>
      </w:pPr>
      <w:r w:rsidRPr="00574E65">
        <w:rPr>
          <w:rFonts w:ascii="Arial" w:hAnsi="Arial" w:cs="Arial"/>
          <w:sz w:val="18"/>
          <w:szCs w:val="18"/>
          <w:lang w:val="en-IN"/>
        </w:rPr>
        <w:t xml:space="preserve">Chien, A. L., Qi, J., Rainer, B., Sachs, D. L., &amp; Helfrich, Y. R. (2016). Treatment of acne in pregnancy. </w:t>
      </w:r>
      <w:r w:rsidRPr="00574E65">
        <w:rPr>
          <w:rFonts w:ascii="Arial" w:hAnsi="Arial" w:cs="Arial"/>
          <w:i/>
          <w:iCs/>
          <w:sz w:val="18"/>
          <w:szCs w:val="18"/>
          <w:lang w:val="en-IN"/>
        </w:rPr>
        <w:t>The Journal of the American Board of Family Medicine</w:t>
      </w:r>
      <w:r w:rsidRPr="00574E65">
        <w:rPr>
          <w:rFonts w:ascii="Arial" w:hAnsi="Arial" w:cs="Arial"/>
          <w:sz w:val="18"/>
          <w:szCs w:val="18"/>
          <w:lang w:val="en-IN"/>
        </w:rPr>
        <w:t xml:space="preserve">, </w:t>
      </w:r>
      <w:r w:rsidRPr="00574E65">
        <w:rPr>
          <w:rFonts w:ascii="Arial" w:hAnsi="Arial" w:cs="Arial"/>
          <w:i/>
          <w:iCs/>
          <w:sz w:val="18"/>
          <w:szCs w:val="18"/>
          <w:lang w:val="en-IN"/>
        </w:rPr>
        <w:t>29</w:t>
      </w:r>
      <w:r w:rsidRPr="00574E65">
        <w:rPr>
          <w:rFonts w:ascii="Arial" w:hAnsi="Arial" w:cs="Arial"/>
          <w:sz w:val="18"/>
          <w:szCs w:val="18"/>
          <w:lang w:val="en-IN"/>
        </w:rPr>
        <w:t xml:space="preserve">(2), 254-262. </w:t>
      </w:r>
      <w:hyperlink r:id="rId31" w:history="1">
        <w:r w:rsidRPr="00574E65">
          <w:rPr>
            <w:rStyle w:val="Hyperlink"/>
            <w:rFonts w:ascii="Arial" w:hAnsi="Arial" w:cs="Arial"/>
            <w:sz w:val="18"/>
            <w:szCs w:val="18"/>
          </w:rPr>
          <w:t>https://doi.org/10.3122/jabfm.2016.02.150165</w:t>
        </w:r>
      </w:hyperlink>
      <w:r w:rsidRPr="00574E65">
        <w:rPr>
          <w:rFonts w:ascii="Arial" w:hAnsi="Arial" w:cs="Arial"/>
          <w:sz w:val="18"/>
          <w:szCs w:val="18"/>
        </w:rPr>
        <w:t xml:space="preserve"> </w:t>
      </w:r>
    </w:p>
    <w:p w14:paraId="3B95F6F0" w14:textId="77777777" w:rsidR="00AE2A46" w:rsidRPr="00574E65" w:rsidRDefault="00AE2A46" w:rsidP="00AE2A46">
      <w:pPr>
        <w:spacing w:after="120"/>
        <w:jc w:val="both"/>
        <w:rPr>
          <w:rFonts w:ascii="Arial" w:hAnsi="Arial" w:cs="Arial"/>
          <w:sz w:val="18"/>
          <w:szCs w:val="18"/>
          <w:lang w:val="en-IN"/>
        </w:rPr>
      </w:pPr>
      <w:r w:rsidRPr="00574E65">
        <w:rPr>
          <w:rFonts w:ascii="Arial" w:hAnsi="Arial" w:cs="Arial"/>
          <w:sz w:val="18"/>
          <w:szCs w:val="18"/>
          <w:lang w:val="en-IN"/>
        </w:rPr>
        <w:t xml:space="preserve">Chularojanamontri, L., Tuchinda, P., Kulthanan, K., &amp; Pongparit, K. (2014). Moisturizers for acne: What are their </w:t>
      </w:r>
      <w:proofErr w:type="gramStart"/>
      <w:r w:rsidRPr="00574E65">
        <w:rPr>
          <w:rFonts w:ascii="Arial" w:hAnsi="Arial" w:cs="Arial"/>
          <w:sz w:val="18"/>
          <w:szCs w:val="18"/>
          <w:lang w:val="en-IN"/>
        </w:rPr>
        <w:t>constituents?.</w:t>
      </w:r>
      <w:proofErr w:type="gramEnd"/>
      <w:r w:rsidRPr="00574E65">
        <w:rPr>
          <w:rFonts w:ascii="Arial" w:hAnsi="Arial" w:cs="Arial"/>
          <w:sz w:val="18"/>
          <w:szCs w:val="18"/>
          <w:lang w:val="en-IN"/>
        </w:rPr>
        <w:t xml:space="preserve"> </w:t>
      </w:r>
      <w:r w:rsidRPr="00574E65">
        <w:rPr>
          <w:rFonts w:ascii="Arial" w:hAnsi="Arial" w:cs="Arial"/>
          <w:i/>
          <w:iCs/>
          <w:sz w:val="18"/>
          <w:szCs w:val="18"/>
          <w:lang w:val="en-IN"/>
        </w:rPr>
        <w:t>Journal of Clinical and Aesthetic Dermatology</w:t>
      </w:r>
      <w:r w:rsidRPr="00574E65">
        <w:rPr>
          <w:rFonts w:ascii="Arial" w:hAnsi="Arial" w:cs="Arial"/>
          <w:sz w:val="18"/>
          <w:szCs w:val="18"/>
          <w:lang w:val="en-IN"/>
        </w:rPr>
        <w:t xml:space="preserve">, </w:t>
      </w:r>
      <w:r w:rsidRPr="00574E65">
        <w:rPr>
          <w:rFonts w:ascii="Arial" w:hAnsi="Arial" w:cs="Arial"/>
          <w:i/>
          <w:iCs/>
          <w:sz w:val="18"/>
          <w:szCs w:val="18"/>
          <w:lang w:val="en-IN"/>
        </w:rPr>
        <w:t>7</w:t>
      </w:r>
      <w:r w:rsidRPr="00574E65">
        <w:rPr>
          <w:rFonts w:ascii="Arial" w:hAnsi="Arial" w:cs="Arial"/>
          <w:sz w:val="18"/>
          <w:szCs w:val="18"/>
          <w:lang w:val="en-IN"/>
        </w:rPr>
        <w:t xml:space="preserve">(5), 36-44. </w:t>
      </w:r>
      <w:hyperlink r:id="rId32" w:history="1">
        <w:r w:rsidRPr="00574E65">
          <w:rPr>
            <w:rStyle w:val="Hyperlink"/>
            <w:rFonts w:ascii="Arial" w:hAnsi="Arial" w:cs="Arial"/>
            <w:sz w:val="18"/>
            <w:szCs w:val="18"/>
            <w:lang w:val="en-IN"/>
          </w:rPr>
          <w:t>https://jcadonline.com/moisturizers-for-acne-what-are-their-constituents/</w:t>
        </w:r>
      </w:hyperlink>
      <w:r w:rsidRPr="00574E65">
        <w:rPr>
          <w:rFonts w:ascii="Arial" w:hAnsi="Arial" w:cs="Arial"/>
          <w:sz w:val="18"/>
          <w:szCs w:val="18"/>
          <w:lang w:val="en-IN"/>
        </w:rPr>
        <w:t xml:space="preserve"> </w:t>
      </w:r>
    </w:p>
    <w:p w14:paraId="032F38C5" w14:textId="77777777" w:rsidR="00AE2A46" w:rsidRPr="00574E65" w:rsidRDefault="00AE2A46" w:rsidP="00AE2A46">
      <w:pPr>
        <w:spacing w:after="120"/>
        <w:jc w:val="both"/>
        <w:rPr>
          <w:rFonts w:ascii="Arial" w:hAnsi="Arial" w:cs="Arial"/>
          <w:sz w:val="18"/>
          <w:szCs w:val="18"/>
          <w:lang w:val="en-IN"/>
        </w:rPr>
      </w:pPr>
      <w:r w:rsidRPr="00574E65">
        <w:rPr>
          <w:rFonts w:ascii="Arial" w:hAnsi="Arial" w:cs="Arial"/>
          <w:sz w:val="18"/>
          <w:szCs w:val="18"/>
          <w:lang w:val="en-IN"/>
        </w:rPr>
        <w:t xml:space="preserve">Dantas, M. G. B., Reis, S. A. G. B., Damasceno, C. M. D., Rolim, L. A., Rolim-Neto, P. J., Carvalho, F. O., ... &amp; Almeida, J. R. G. D. S. (2016). Development and evaluation of stability of a gel formulation containing the monoterpene borneol. </w:t>
      </w:r>
      <w:r w:rsidRPr="00574E65">
        <w:rPr>
          <w:rFonts w:ascii="Arial" w:hAnsi="Arial" w:cs="Arial"/>
          <w:i/>
          <w:iCs/>
          <w:sz w:val="18"/>
          <w:szCs w:val="18"/>
          <w:lang w:val="en-IN"/>
        </w:rPr>
        <w:t>The Scientific World Journal</w:t>
      </w:r>
      <w:r w:rsidRPr="00574E65">
        <w:rPr>
          <w:rFonts w:ascii="Arial" w:hAnsi="Arial" w:cs="Arial"/>
          <w:sz w:val="18"/>
          <w:szCs w:val="18"/>
          <w:lang w:val="en-IN"/>
        </w:rPr>
        <w:t xml:space="preserve">, </w:t>
      </w:r>
      <w:r w:rsidRPr="00574E65">
        <w:rPr>
          <w:rFonts w:ascii="Arial" w:hAnsi="Arial" w:cs="Arial"/>
          <w:i/>
          <w:iCs/>
          <w:sz w:val="18"/>
          <w:szCs w:val="18"/>
          <w:lang w:val="en-IN"/>
        </w:rPr>
        <w:t>2016</w:t>
      </w:r>
      <w:r w:rsidRPr="00574E65">
        <w:rPr>
          <w:rFonts w:ascii="Arial" w:hAnsi="Arial" w:cs="Arial"/>
          <w:sz w:val="18"/>
          <w:szCs w:val="18"/>
          <w:lang w:val="en-IN"/>
        </w:rPr>
        <w:t xml:space="preserve">(1), 7394685. </w:t>
      </w:r>
      <w:hyperlink r:id="rId33" w:history="1">
        <w:r w:rsidRPr="00574E65">
          <w:rPr>
            <w:rStyle w:val="Hyperlink"/>
            <w:rFonts w:ascii="Arial" w:hAnsi="Arial" w:cs="Arial"/>
            <w:sz w:val="18"/>
            <w:szCs w:val="18"/>
            <w:lang w:val="en-IN"/>
          </w:rPr>
          <w:t>https://doi.org/10.1155/2016/7394685</w:t>
        </w:r>
      </w:hyperlink>
      <w:r w:rsidRPr="00574E65">
        <w:rPr>
          <w:rFonts w:ascii="Arial" w:hAnsi="Arial" w:cs="Arial"/>
          <w:sz w:val="18"/>
          <w:szCs w:val="18"/>
          <w:lang w:val="en-IN"/>
        </w:rPr>
        <w:t xml:space="preserve"> </w:t>
      </w:r>
    </w:p>
    <w:p w14:paraId="45A1A067" w14:textId="77777777" w:rsidR="00AE2A46" w:rsidRPr="00574E65" w:rsidRDefault="00AE2A46" w:rsidP="00AE2A46">
      <w:pPr>
        <w:spacing w:after="120"/>
        <w:jc w:val="both"/>
        <w:rPr>
          <w:rFonts w:ascii="Arial" w:hAnsi="Arial" w:cs="Arial"/>
          <w:sz w:val="18"/>
          <w:szCs w:val="18"/>
        </w:rPr>
      </w:pPr>
      <w:r w:rsidRPr="00574E65">
        <w:rPr>
          <w:rFonts w:ascii="Arial" w:hAnsi="Arial" w:cs="Arial"/>
          <w:sz w:val="18"/>
          <w:szCs w:val="18"/>
        </w:rPr>
        <w:t xml:space="preserve">Deuschle, V. C. K. N., Deuschle, R. A. N., Bortoluzzi, M. R., &amp; Athayde, M. L. (2015). Physical chemistry evaluation of stability, spreadability, in vitro antioxidant, and photo-protective capacities of topical formulations containing Calendula officinalis L. leaf extract. </w:t>
      </w:r>
      <w:r w:rsidRPr="00574E65">
        <w:rPr>
          <w:rFonts w:ascii="Arial" w:hAnsi="Arial" w:cs="Arial"/>
          <w:i/>
          <w:iCs/>
          <w:sz w:val="18"/>
          <w:szCs w:val="18"/>
        </w:rPr>
        <w:t>Brazilian Journal of Pharmaceutical Sciences, 51</w:t>
      </w:r>
      <w:r w:rsidRPr="00574E65">
        <w:rPr>
          <w:rFonts w:ascii="Arial" w:hAnsi="Arial" w:cs="Arial"/>
          <w:sz w:val="18"/>
          <w:szCs w:val="18"/>
        </w:rPr>
        <w:t xml:space="preserve">(1), 63-75. </w:t>
      </w:r>
      <w:hyperlink r:id="rId34" w:history="1">
        <w:r w:rsidRPr="00574E65">
          <w:rPr>
            <w:rStyle w:val="Hyperlink"/>
            <w:rFonts w:ascii="Arial" w:hAnsi="Arial" w:cs="Arial"/>
            <w:sz w:val="18"/>
            <w:szCs w:val="18"/>
          </w:rPr>
          <w:t>https://doi.org/10.1590/S1984-82502015000100007</w:t>
        </w:r>
      </w:hyperlink>
    </w:p>
    <w:p w14:paraId="64936A28" w14:textId="77777777" w:rsidR="00AE2A46" w:rsidRPr="00574E65" w:rsidRDefault="00AE2A46" w:rsidP="00AE2A46">
      <w:pPr>
        <w:spacing w:after="120"/>
        <w:jc w:val="both"/>
        <w:rPr>
          <w:rFonts w:ascii="Arial" w:hAnsi="Arial" w:cs="Arial"/>
          <w:sz w:val="18"/>
          <w:szCs w:val="18"/>
        </w:rPr>
      </w:pPr>
      <w:r w:rsidRPr="00574E65">
        <w:rPr>
          <w:rFonts w:ascii="Arial" w:hAnsi="Arial" w:cs="Arial"/>
          <w:sz w:val="18"/>
          <w:szCs w:val="18"/>
        </w:rPr>
        <w:t xml:space="preserve">Dréno, B., Blouin, E., Moyse, D., Bodokh, I., Knol, A. C., &amp; Khammari, A. (2014). Acne in pregnant women: a French survey. </w:t>
      </w:r>
      <w:r w:rsidRPr="00574E65">
        <w:rPr>
          <w:rFonts w:ascii="Arial" w:hAnsi="Arial" w:cs="Arial"/>
          <w:i/>
          <w:iCs/>
          <w:sz w:val="18"/>
          <w:szCs w:val="18"/>
        </w:rPr>
        <w:t>Acta Dermato-Venereologica, 94</w:t>
      </w:r>
      <w:r w:rsidRPr="00574E65">
        <w:rPr>
          <w:rFonts w:ascii="Arial" w:hAnsi="Arial" w:cs="Arial"/>
          <w:sz w:val="18"/>
          <w:szCs w:val="18"/>
        </w:rPr>
        <w:t xml:space="preserve">(1), 82-83. </w:t>
      </w:r>
      <w:hyperlink r:id="rId35" w:history="1">
        <w:r w:rsidRPr="00574E65">
          <w:rPr>
            <w:rStyle w:val="Hyperlink"/>
            <w:rFonts w:ascii="Arial" w:hAnsi="Arial" w:cs="Arial"/>
            <w:sz w:val="18"/>
            <w:szCs w:val="18"/>
          </w:rPr>
          <w:t>https://doi.org/10.2340/00015555-1594</w:t>
        </w:r>
      </w:hyperlink>
      <w:r w:rsidRPr="00574E65">
        <w:rPr>
          <w:rFonts w:ascii="Arial" w:hAnsi="Arial" w:cs="Arial"/>
          <w:sz w:val="18"/>
          <w:szCs w:val="18"/>
        </w:rPr>
        <w:t xml:space="preserve"> </w:t>
      </w:r>
    </w:p>
    <w:p w14:paraId="065C701A" w14:textId="77777777" w:rsidR="00AE2A46" w:rsidRPr="00574E65" w:rsidRDefault="00AE2A46" w:rsidP="00AE2A46">
      <w:pPr>
        <w:spacing w:after="120"/>
        <w:jc w:val="both"/>
        <w:rPr>
          <w:rFonts w:ascii="Arial" w:hAnsi="Arial" w:cs="Arial"/>
          <w:sz w:val="18"/>
          <w:szCs w:val="18"/>
          <w:lang w:val="en-IN"/>
        </w:rPr>
      </w:pPr>
      <w:r w:rsidRPr="00574E65">
        <w:rPr>
          <w:rFonts w:ascii="Arial" w:hAnsi="Arial" w:cs="Arial"/>
          <w:sz w:val="18"/>
          <w:szCs w:val="18"/>
          <w:lang w:val="en-IN"/>
        </w:rPr>
        <w:t xml:space="preserve">Gyawali, R., Gupta, R. K., Shrestha, S., Joshi, R., &amp; Paudel, P. N. (2020). Formulation and evaluation of polyherbal cream containing cinnamomum Zeylanicum Blume, Glycyrrhiza glabra L and Azadirachta indica A. Juss. extracts to topical use. </w:t>
      </w:r>
      <w:r w:rsidRPr="00574E65">
        <w:rPr>
          <w:rFonts w:ascii="Arial" w:hAnsi="Arial" w:cs="Arial"/>
          <w:i/>
          <w:iCs/>
          <w:sz w:val="18"/>
          <w:szCs w:val="18"/>
          <w:lang w:val="en-IN"/>
        </w:rPr>
        <w:t>Journal of Institute of Science and Technology</w:t>
      </w:r>
      <w:r w:rsidRPr="00574E65">
        <w:rPr>
          <w:rFonts w:ascii="Arial" w:hAnsi="Arial" w:cs="Arial"/>
          <w:sz w:val="18"/>
          <w:szCs w:val="18"/>
          <w:lang w:val="en-IN"/>
        </w:rPr>
        <w:t xml:space="preserve">, </w:t>
      </w:r>
      <w:r w:rsidRPr="00574E65">
        <w:rPr>
          <w:rFonts w:ascii="Arial" w:hAnsi="Arial" w:cs="Arial"/>
          <w:i/>
          <w:iCs/>
          <w:sz w:val="18"/>
          <w:szCs w:val="18"/>
          <w:lang w:val="en-IN"/>
        </w:rPr>
        <w:t>25</w:t>
      </w:r>
      <w:r w:rsidRPr="00574E65">
        <w:rPr>
          <w:rFonts w:ascii="Arial" w:hAnsi="Arial" w:cs="Arial"/>
          <w:sz w:val="18"/>
          <w:szCs w:val="18"/>
          <w:lang w:val="en-IN"/>
        </w:rPr>
        <w:t>(2), 61-71.</w:t>
      </w:r>
      <w:r w:rsidRPr="00574E65">
        <w:rPr>
          <w:sz w:val="18"/>
          <w:szCs w:val="18"/>
        </w:rPr>
        <w:t xml:space="preserve"> </w:t>
      </w:r>
      <w:hyperlink r:id="rId36" w:history="1">
        <w:r w:rsidRPr="00574E65">
          <w:rPr>
            <w:rStyle w:val="Hyperlink"/>
            <w:rFonts w:ascii="Arial" w:hAnsi="Arial" w:cs="Arial"/>
            <w:sz w:val="18"/>
            <w:szCs w:val="18"/>
            <w:lang w:val="en-IN"/>
          </w:rPr>
          <w:t>https://doi.org/10.3126/jist.v25i2.33738</w:t>
        </w:r>
      </w:hyperlink>
      <w:r w:rsidRPr="00574E65">
        <w:rPr>
          <w:rFonts w:ascii="Arial" w:hAnsi="Arial" w:cs="Arial"/>
          <w:sz w:val="18"/>
          <w:szCs w:val="18"/>
          <w:lang w:val="en-IN"/>
        </w:rPr>
        <w:t xml:space="preserve"> </w:t>
      </w:r>
    </w:p>
    <w:p w14:paraId="23455AAE" w14:textId="77777777" w:rsidR="00AE2A46" w:rsidRPr="00574E65" w:rsidRDefault="00AE2A46" w:rsidP="00AE2A46">
      <w:pPr>
        <w:spacing w:after="120"/>
        <w:jc w:val="both"/>
        <w:rPr>
          <w:rFonts w:ascii="Arial" w:hAnsi="Arial" w:cs="Arial"/>
          <w:sz w:val="18"/>
          <w:szCs w:val="18"/>
        </w:rPr>
      </w:pPr>
      <w:r w:rsidRPr="00574E65">
        <w:rPr>
          <w:rFonts w:ascii="Arial" w:hAnsi="Arial" w:cs="Arial"/>
          <w:sz w:val="18"/>
          <w:szCs w:val="18"/>
          <w:lang w:val="en-IN"/>
        </w:rPr>
        <w:t xml:space="preserve">Hafeez, A., Ahmad, S., &amp; Al-Taie, A. (2020). Elucidating anti-acne properties of a novel herbal moisturizer. </w:t>
      </w:r>
      <w:r w:rsidRPr="00574E65">
        <w:rPr>
          <w:rFonts w:ascii="Arial" w:hAnsi="Arial" w:cs="Arial"/>
          <w:i/>
          <w:iCs/>
          <w:sz w:val="18"/>
          <w:szCs w:val="18"/>
          <w:lang w:val="en-IN"/>
        </w:rPr>
        <w:t>Journal of Pharmaceutical Research International</w:t>
      </w:r>
      <w:r w:rsidRPr="00574E65">
        <w:rPr>
          <w:rFonts w:ascii="Arial" w:hAnsi="Arial" w:cs="Arial"/>
          <w:sz w:val="18"/>
          <w:szCs w:val="18"/>
          <w:lang w:val="en-IN"/>
        </w:rPr>
        <w:t xml:space="preserve">, </w:t>
      </w:r>
      <w:r w:rsidRPr="00574E65">
        <w:rPr>
          <w:rFonts w:ascii="Arial" w:hAnsi="Arial" w:cs="Arial"/>
          <w:i/>
          <w:iCs/>
          <w:sz w:val="18"/>
          <w:szCs w:val="18"/>
          <w:lang w:val="en-IN"/>
        </w:rPr>
        <w:t>32</w:t>
      </w:r>
      <w:r w:rsidRPr="00574E65">
        <w:rPr>
          <w:rFonts w:ascii="Arial" w:hAnsi="Arial" w:cs="Arial"/>
          <w:sz w:val="18"/>
          <w:szCs w:val="18"/>
          <w:lang w:val="en-IN"/>
        </w:rPr>
        <w:t xml:space="preserve">(35), 22-27. </w:t>
      </w:r>
      <w:hyperlink r:id="rId37" w:history="1">
        <w:r w:rsidRPr="00574E65">
          <w:rPr>
            <w:rStyle w:val="Hyperlink"/>
            <w:rFonts w:ascii="Arial" w:hAnsi="Arial" w:cs="Arial"/>
            <w:sz w:val="18"/>
            <w:szCs w:val="18"/>
          </w:rPr>
          <w:t>https://doi.org/10.9734/JPRI/2020/v32i3530976</w:t>
        </w:r>
      </w:hyperlink>
      <w:r w:rsidRPr="00574E65">
        <w:rPr>
          <w:rFonts w:ascii="Arial" w:hAnsi="Arial" w:cs="Arial"/>
          <w:sz w:val="18"/>
          <w:szCs w:val="18"/>
        </w:rPr>
        <w:t xml:space="preserve"> </w:t>
      </w:r>
    </w:p>
    <w:p w14:paraId="79C76A72" w14:textId="23A6BC58" w:rsidR="00CA57FA" w:rsidRPr="00574E65" w:rsidRDefault="00CA57FA" w:rsidP="00AE2A46">
      <w:pPr>
        <w:spacing w:after="120"/>
        <w:jc w:val="both"/>
        <w:rPr>
          <w:rFonts w:ascii="Arial" w:hAnsi="Arial" w:cs="Arial"/>
          <w:sz w:val="18"/>
          <w:szCs w:val="18"/>
        </w:rPr>
      </w:pPr>
      <w:r w:rsidRPr="00574E65">
        <w:rPr>
          <w:rFonts w:ascii="Arial" w:hAnsi="Arial" w:cs="Arial"/>
          <w:sz w:val="18"/>
          <w:szCs w:val="18"/>
        </w:rPr>
        <w:t>Hamann, T., Brüggemann, H., Feidenhansl, C., Rruci, E., Gallinger, J., Gallinat, S., &amp; Hüpeden, J. (2025). Distinct intraspecies variation of Cutibacterium acnes and Staphylococcus epidermidis in acne vulgaris and healthy skin. Microorganisms, 13(2), 299. https://doi.org/10.3390/microorganisms13020299</w:t>
      </w:r>
    </w:p>
    <w:p w14:paraId="36B498C2" w14:textId="77777777" w:rsidR="00AE2A46" w:rsidRPr="00574E65" w:rsidRDefault="00AE2A46" w:rsidP="00AE2A46">
      <w:pPr>
        <w:spacing w:after="120"/>
        <w:jc w:val="both"/>
        <w:rPr>
          <w:rFonts w:ascii="Arial" w:hAnsi="Arial" w:cs="Arial"/>
          <w:sz w:val="18"/>
          <w:szCs w:val="18"/>
          <w:lang w:val="en-IN"/>
        </w:rPr>
      </w:pPr>
      <w:r w:rsidRPr="00574E65">
        <w:rPr>
          <w:rFonts w:ascii="Arial" w:hAnsi="Arial" w:cs="Arial"/>
          <w:sz w:val="18"/>
          <w:szCs w:val="18"/>
          <w:lang w:val="en-IN"/>
        </w:rPr>
        <w:t xml:space="preserve">Milala, J., Piekarska-Radzik, L., Sójka, M., Klewicki, R., Matysiak, B., &amp; Klewicka, E. (2021). Rosa spp. extracts as a factor that limits the growth of Staphylococcus spp. bacteria, a food contaminant. </w:t>
      </w:r>
      <w:r w:rsidRPr="00574E65">
        <w:rPr>
          <w:rFonts w:ascii="Arial" w:hAnsi="Arial" w:cs="Arial"/>
          <w:i/>
          <w:iCs/>
          <w:sz w:val="18"/>
          <w:szCs w:val="18"/>
          <w:lang w:val="en-IN"/>
        </w:rPr>
        <w:t>Molecules</w:t>
      </w:r>
      <w:r w:rsidRPr="00574E65">
        <w:rPr>
          <w:rFonts w:ascii="Arial" w:hAnsi="Arial" w:cs="Arial"/>
          <w:sz w:val="18"/>
          <w:szCs w:val="18"/>
          <w:lang w:val="en-IN"/>
        </w:rPr>
        <w:t xml:space="preserve">, </w:t>
      </w:r>
      <w:r w:rsidRPr="00574E65">
        <w:rPr>
          <w:rFonts w:ascii="Arial" w:hAnsi="Arial" w:cs="Arial"/>
          <w:i/>
          <w:iCs/>
          <w:sz w:val="18"/>
          <w:szCs w:val="18"/>
          <w:lang w:val="en-IN"/>
        </w:rPr>
        <w:t>26</w:t>
      </w:r>
      <w:r w:rsidRPr="00574E65">
        <w:rPr>
          <w:rFonts w:ascii="Arial" w:hAnsi="Arial" w:cs="Arial"/>
          <w:sz w:val="18"/>
          <w:szCs w:val="18"/>
          <w:lang w:val="en-IN"/>
        </w:rPr>
        <w:t xml:space="preserve">(15), 4590. </w:t>
      </w:r>
      <w:hyperlink r:id="rId38" w:history="1">
        <w:r w:rsidRPr="00574E65">
          <w:rPr>
            <w:rStyle w:val="Hyperlink"/>
            <w:rFonts w:ascii="Arial" w:hAnsi="Arial" w:cs="Arial"/>
            <w:sz w:val="18"/>
            <w:szCs w:val="18"/>
            <w:lang w:val="en-IN"/>
          </w:rPr>
          <w:t>https://doi.org/10.3390/molecules26154590</w:t>
        </w:r>
      </w:hyperlink>
      <w:r w:rsidRPr="00574E65">
        <w:rPr>
          <w:rFonts w:ascii="Arial" w:hAnsi="Arial" w:cs="Arial"/>
          <w:sz w:val="18"/>
          <w:szCs w:val="18"/>
          <w:lang w:val="en-IN"/>
        </w:rPr>
        <w:t xml:space="preserve"> </w:t>
      </w:r>
    </w:p>
    <w:p w14:paraId="49551242" w14:textId="77777777" w:rsidR="00AE2A46" w:rsidRPr="00574E65" w:rsidRDefault="00AE2A46" w:rsidP="00AE2A46">
      <w:pPr>
        <w:spacing w:after="120"/>
        <w:jc w:val="both"/>
        <w:rPr>
          <w:rFonts w:ascii="Arial" w:hAnsi="Arial" w:cs="Arial"/>
          <w:sz w:val="18"/>
          <w:szCs w:val="18"/>
        </w:rPr>
      </w:pPr>
      <w:r w:rsidRPr="00574E65">
        <w:rPr>
          <w:rFonts w:ascii="Arial" w:hAnsi="Arial" w:cs="Arial"/>
          <w:sz w:val="18"/>
          <w:szCs w:val="18"/>
          <w:lang w:val="en-IN"/>
        </w:rPr>
        <w:t xml:space="preserve">Kirkbride, L., Humphries, L., Kozielska, P., &amp; Curtis, H. (2021). Designing a suitable stability protocol in the face of a changing retail landscape. </w:t>
      </w:r>
      <w:r w:rsidRPr="00574E65">
        <w:rPr>
          <w:rFonts w:ascii="Arial" w:hAnsi="Arial" w:cs="Arial"/>
          <w:i/>
          <w:iCs/>
          <w:sz w:val="18"/>
          <w:szCs w:val="18"/>
          <w:lang w:val="en-IN"/>
        </w:rPr>
        <w:t>Cosmetics</w:t>
      </w:r>
      <w:r w:rsidRPr="00574E65">
        <w:rPr>
          <w:rFonts w:ascii="Arial" w:hAnsi="Arial" w:cs="Arial"/>
          <w:sz w:val="18"/>
          <w:szCs w:val="18"/>
          <w:lang w:val="en-IN"/>
        </w:rPr>
        <w:t xml:space="preserve">, </w:t>
      </w:r>
      <w:r w:rsidRPr="00574E65">
        <w:rPr>
          <w:rFonts w:ascii="Arial" w:hAnsi="Arial" w:cs="Arial"/>
          <w:i/>
          <w:iCs/>
          <w:sz w:val="18"/>
          <w:szCs w:val="18"/>
          <w:lang w:val="en-IN"/>
        </w:rPr>
        <w:t>8</w:t>
      </w:r>
      <w:r w:rsidRPr="00574E65">
        <w:rPr>
          <w:rFonts w:ascii="Arial" w:hAnsi="Arial" w:cs="Arial"/>
          <w:sz w:val="18"/>
          <w:szCs w:val="18"/>
          <w:lang w:val="en-IN"/>
        </w:rPr>
        <w:t xml:space="preserve">(3), 64. </w:t>
      </w:r>
      <w:hyperlink r:id="rId39" w:history="1">
        <w:r w:rsidRPr="00574E65">
          <w:rPr>
            <w:rStyle w:val="Hyperlink"/>
            <w:rFonts w:ascii="Arial" w:hAnsi="Arial" w:cs="Arial"/>
            <w:sz w:val="18"/>
            <w:szCs w:val="18"/>
          </w:rPr>
          <w:t>https://doi.org/10.3390/cosmetics8030064</w:t>
        </w:r>
      </w:hyperlink>
    </w:p>
    <w:p w14:paraId="5FAA4843" w14:textId="77777777" w:rsidR="00AE2A46" w:rsidRPr="00574E65" w:rsidRDefault="00AE2A46" w:rsidP="00AE2A46">
      <w:pPr>
        <w:spacing w:after="120"/>
        <w:jc w:val="both"/>
        <w:rPr>
          <w:rFonts w:ascii="Arial" w:hAnsi="Arial" w:cs="Arial"/>
          <w:sz w:val="18"/>
          <w:szCs w:val="18"/>
        </w:rPr>
      </w:pPr>
      <w:r w:rsidRPr="00574E65">
        <w:rPr>
          <w:rFonts w:ascii="Arial" w:hAnsi="Arial" w:cs="Arial"/>
          <w:sz w:val="18"/>
          <w:szCs w:val="18"/>
        </w:rPr>
        <w:t>Li, Z., Xu, Y., Liu, Y., Kong, M., Ma, K., Wang, J., ... &amp; Zhao, Y. (2024). Ultrasonic pretreatment combined with microwave-assisted hydrodistillation for the situ extraction of essential oil from Pinus koraiensis seed scales induced by tea saponin: functional activity, composition, thermal stability and material characterization</w:t>
      </w:r>
      <w:r w:rsidRPr="00574E65">
        <w:rPr>
          <w:rFonts w:ascii="Arial" w:hAnsi="Arial" w:cs="Arial"/>
          <w:i/>
          <w:iCs/>
          <w:sz w:val="18"/>
          <w:szCs w:val="18"/>
        </w:rPr>
        <w:t>. Industrial Crops and Products, 210,</w:t>
      </w:r>
      <w:r w:rsidRPr="00574E65">
        <w:rPr>
          <w:rFonts w:ascii="Arial" w:hAnsi="Arial" w:cs="Arial"/>
          <w:sz w:val="18"/>
          <w:szCs w:val="18"/>
        </w:rPr>
        <w:t xml:space="preserve"> 118191. </w:t>
      </w:r>
      <w:hyperlink r:id="rId40" w:history="1">
        <w:r w:rsidRPr="00574E65">
          <w:rPr>
            <w:rStyle w:val="Hyperlink"/>
            <w:rFonts w:ascii="Arial" w:hAnsi="Arial" w:cs="Arial"/>
            <w:sz w:val="18"/>
            <w:szCs w:val="18"/>
          </w:rPr>
          <w:t>https://doi.org/10.1016/j.indcrop.2024.118191</w:t>
        </w:r>
      </w:hyperlink>
    </w:p>
    <w:p w14:paraId="22A32DD3" w14:textId="77777777" w:rsidR="00AE2A46" w:rsidRPr="00574E65" w:rsidRDefault="00AE2A46" w:rsidP="00AE2A46">
      <w:pPr>
        <w:spacing w:after="120"/>
        <w:jc w:val="both"/>
        <w:rPr>
          <w:rFonts w:ascii="Arial" w:hAnsi="Arial" w:cs="Arial"/>
          <w:sz w:val="18"/>
          <w:szCs w:val="18"/>
          <w:lang w:val="en-IN"/>
        </w:rPr>
      </w:pPr>
      <w:r w:rsidRPr="00574E65">
        <w:rPr>
          <w:rFonts w:ascii="Arial" w:hAnsi="Arial" w:cs="Arial"/>
          <w:sz w:val="18"/>
          <w:szCs w:val="18"/>
          <w:lang w:val="en-IN"/>
        </w:rPr>
        <w:lastRenderedPageBreak/>
        <w:t xml:space="preserve">Lin, T. K., Zhong, L., &amp; Santiago, J. L. (2018). Anti-inflammatory and skin barrier repair effects of topical application of some plant oils. </w:t>
      </w:r>
      <w:r w:rsidRPr="00574E65">
        <w:rPr>
          <w:rFonts w:ascii="Arial" w:hAnsi="Arial" w:cs="Arial"/>
          <w:i/>
          <w:iCs/>
          <w:sz w:val="18"/>
          <w:szCs w:val="18"/>
          <w:lang w:val="en-IN"/>
        </w:rPr>
        <w:t>International Journal of Molecular Sciences</w:t>
      </w:r>
      <w:r w:rsidRPr="00574E65">
        <w:rPr>
          <w:rFonts w:ascii="Arial" w:hAnsi="Arial" w:cs="Arial"/>
          <w:sz w:val="18"/>
          <w:szCs w:val="18"/>
          <w:lang w:val="en-IN"/>
        </w:rPr>
        <w:t xml:space="preserve">, </w:t>
      </w:r>
      <w:r w:rsidRPr="00574E65">
        <w:rPr>
          <w:rFonts w:ascii="Arial" w:hAnsi="Arial" w:cs="Arial"/>
          <w:i/>
          <w:iCs/>
          <w:sz w:val="18"/>
          <w:szCs w:val="18"/>
          <w:lang w:val="en-IN"/>
        </w:rPr>
        <w:t>19</w:t>
      </w:r>
      <w:r w:rsidRPr="00574E65">
        <w:rPr>
          <w:rFonts w:ascii="Arial" w:hAnsi="Arial" w:cs="Arial"/>
          <w:sz w:val="18"/>
          <w:szCs w:val="18"/>
          <w:lang w:val="en-IN"/>
        </w:rPr>
        <w:t xml:space="preserve">(1), 70. </w:t>
      </w:r>
      <w:hyperlink r:id="rId41" w:history="1">
        <w:r w:rsidRPr="00574E65">
          <w:rPr>
            <w:rStyle w:val="Hyperlink"/>
            <w:rFonts w:ascii="Arial" w:hAnsi="Arial" w:cs="Arial"/>
            <w:sz w:val="18"/>
            <w:szCs w:val="18"/>
            <w:lang w:val="en-IN"/>
          </w:rPr>
          <w:t>https://doi.org/10.3390/ijms19010070</w:t>
        </w:r>
      </w:hyperlink>
      <w:r w:rsidRPr="00574E65">
        <w:rPr>
          <w:rFonts w:ascii="Arial" w:hAnsi="Arial" w:cs="Arial"/>
          <w:sz w:val="18"/>
          <w:szCs w:val="18"/>
          <w:lang w:val="en-IN"/>
        </w:rPr>
        <w:t xml:space="preserve"> </w:t>
      </w:r>
    </w:p>
    <w:p w14:paraId="6921B850" w14:textId="77777777" w:rsidR="00AE2A46" w:rsidRPr="00574E65" w:rsidRDefault="00AE2A46" w:rsidP="00AE2A46">
      <w:pPr>
        <w:spacing w:after="120"/>
        <w:jc w:val="both"/>
        <w:rPr>
          <w:rFonts w:ascii="Arial" w:hAnsi="Arial" w:cs="Arial"/>
          <w:sz w:val="18"/>
          <w:szCs w:val="18"/>
        </w:rPr>
      </w:pPr>
      <w:r w:rsidRPr="00574E65">
        <w:rPr>
          <w:rFonts w:ascii="Arial" w:hAnsi="Arial" w:cs="Arial"/>
          <w:sz w:val="18"/>
          <w:szCs w:val="18"/>
        </w:rPr>
        <w:t xml:space="preserve">Maha, H. L., Sinaga, K. R., &amp; Masfria, M. (2018). Formulation and evaluation of miconazole nitrate nanoemulsion and cream. </w:t>
      </w:r>
      <w:r w:rsidRPr="00574E65">
        <w:rPr>
          <w:rFonts w:ascii="Arial" w:hAnsi="Arial" w:cs="Arial"/>
          <w:i/>
          <w:iCs/>
          <w:sz w:val="18"/>
          <w:szCs w:val="18"/>
        </w:rPr>
        <w:t>Asian Journal of Pharmaceutical and Clinical Research, 11</w:t>
      </w:r>
      <w:r w:rsidRPr="00574E65">
        <w:rPr>
          <w:rFonts w:ascii="Arial" w:hAnsi="Arial" w:cs="Arial"/>
          <w:sz w:val="18"/>
          <w:szCs w:val="18"/>
        </w:rPr>
        <w:t xml:space="preserve">(3), 319-321. </w:t>
      </w:r>
      <w:hyperlink r:id="rId42" w:history="1">
        <w:r w:rsidRPr="00574E65">
          <w:rPr>
            <w:rStyle w:val="Hyperlink"/>
            <w:rFonts w:ascii="Arial" w:hAnsi="Arial" w:cs="Arial"/>
            <w:sz w:val="18"/>
            <w:szCs w:val="18"/>
          </w:rPr>
          <w:t>http://dx.doi.org/10.22159/ajpcr.2018.v11i3.22056</w:t>
        </w:r>
      </w:hyperlink>
      <w:r w:rsidRPr="00574E65">
        <w:rPr>
          <w:rFonts w:ascii="Arial" w:hAnsi="Arial" w:cs="Arial"/>
          <w:sz w:val="18"/>
          <w:szCs w:val="18"/>
        </w:rPr>
        <w:t xml:space="preserve"> </w:t>
      </w:r>
    </w:p>
    <w:p w14:paraId="4DA8CBE6" w14:textId="77777777" w:rsidR="00AE2A46" w:rsidRPr="00574E65" w:rsidRDefault="00AE2A46" w:rsidP="00AE2A46">
      <w:pPr>
        <w:spacing w:after="120"/>
        <w:jc w:val="both"/>
        <w:rPr>
          <w:rFonts w:ascii="Arial" w:hAnsi="Arial" w:cs="Arial"/>
          <w:sz w:val="18"/>
          <w:szCs w:val="18"/>
          <w:lang w:val="en-IN"/>
        </w:rPr>
      </w:pPr>
      <w:r w:rsidRPr="00574E65">
        <w:rPr>
          <w:rFonts w:ascii="Arial" w:hAnsi="Arial" w:cs="Arial"/>
          <w:sz w:val="18"/>
          <w:szCs w:val="18"/>
          <w:lang w:val="en-IN"/>
        </w:rPr>
        <w:t xml:space="preserve">Mawazi, S. M., Ann, J., Othman, N., Khan, J., Alolayan, S. O., Thagfan, S. S. A., &amp; Kaleemullah, M. (2022). A review of moisturizers; history, preparation, characterization and applications. </w:t>
      </w:r>
      <w:r w:rsidRPr="00574E65">
        <w:rPr>
          <w:rFonts w:ascii="Arial" w:hAnsi="Arial" w:cs="Arial"/>
          <w:i/>
          <w:iCs/>
          <w:sz w:val="18"/>
          <w:szCs w:val="18"/>
          <w:lang w:val="en-IN"/>
        </w:rPr>
        <w:t>Cosmetics</w:t>
      </w:r>
      <w:r w:rsidRPr="00574E65">
        <w:rPr>
          <w:rFonts w:ascii="Arial" w:hAnsi="Arial" w:cs="Arial"/>
          <w:sz w:val="18"/>
          <w:szCs w:val="18"/>
          <w:lang w:val="en-IN"/>
        </w:rPr>
        <w:t xml:space="preserve">, </w:t>
      </w:r>
      <w:r w:rsidRPr="00574E65">
        <w:rPr>
          <w:rFonts w:ascii="Arial" w:hAnsi="Arial" w:cs="Arial"/>
          <w:i/>
          <w:iCs/>
          <w:sz w:val="18"/>
          <w:szCs w:val="18"/>
          <w:lang w:val="en-IN"/>
        </w:rPr>
        <w:t>9</w:t>
      </w:r>
      <w:r w:rsidRPr="00574E65">
        <w:rPr>
          <w:rFonts w:ascii="Arial" w:hAnsi="Arial" w:cs="Arial"/>
          <w:sz w:val="18"/>
          <w:szCs w:val="18"/>
          <w:lang w:val="en-IN"/>
        </w:rPr>
        <w:t xml:space="preserve">(3), 61. </w:t>
      </w:r>
      <w:hyperlink r:id="rId43" w:history="1">
        <w:r w:rsidRPr="00574E65">
          <w:rPr>
            <w:rStyle w:val="Hyperlink"/>
            <w:rFonts w:ascii="Arial" w:hAnsi="Arial" w:cs="Arial"/>
            <w:sz w:val="18"/>
            <w:szCs w:val="18"/>
            <w:lang w:val="en-IN"/>
          </w:rPr>
          <w:t>https://doi.org/10.3390/cosmetics9030061</w:t>
        </w:r>
      </w:hyperlink>
      <w:r w:rsidRPr="00574E65">
        <w:rPr>
          <w:rFonts w:ascii="Arial" w:hAnsi="Arial" w:cs="Arial"/>
          <w:sz w:val="18"/>
          <w:szCs w:val="18"/>
          <w:lang w:val="en-IN"/>
        </w:rPr>
        <w:t xml:space="preserve"> </w:t>
      </w:r>
    </w:p>
    <w:p w14:paraId="5FA3138A" w14:textId="77777777" w:rsidR="00AE2A46" w:rsidRPr="00574E65" w:rsidRDefault="00AE2A46" w:rsidP="00AE2A46">
      <w:pPr>
        <w:spacing w:after="120"/>
        <w:jc w:val="both"/>
        <w:rPr>
          <w:rFonts w:ascii="Arial" w:hAnsi="Arial" w:cs="Arial"/>
          <w:sz w:val="18"/>
          <w:szCs w:val="18"/>
        </w:rPr>
      </w:pPr>
      <w:r w:rsidRPr="00574E65">
        <w:rPr>
          <w:rFonts w:ascii="Arial" w:hAnsi="Arial" w:cs="Arial"/>
          <w:sz w:val="18"/>
          <w:szCs w:val="18"/>
        </w:rPr>
        <w:t xml:space="preserve">Mohamed, A. S., Fahmy, S. R., &amp; Elsayed, A. A. (2020). Formulation and Evaluation of the sea cucumber, Holothuria arenicola extract incorporated skin cream. </w:t>
      </w:r>
      <w:r w:rsidRPr="00574E65">
        <w:rPr>
          <w:rFonts w:ascii="Arial" w:hAnsi="Arial" w:cs="Arial"/>
          <w:i/>
          <w:iCs/>
          <w:sz w:val="18"/>
          <w:szCs w:val="18"/>
        </w:rPr>
        <w:t>GSC Biological and Pharmaceutical Sciences, 13</w:t>
      </w:r>
      <w:r w:rsidRPr="00574E65">
        <w:rPr>
          <w:rFonts w:ascii="Arial" w:hAnsi="Arial" w:cs="Arial"/>
          <w:sz w:val="18"/>
          <w:szCs w:val="18"/>
        </w:rPr>
        <w:t xml:space="preserve">(2), 232–239. </w:t>
      </w:r>
      <w:hyperlink r:id="rId44" w:history="1">
        <w:r w:rsidRPr="00574E65">
          <w:rPr>
            <w:rStyle w:val="Hyperlink"/>
            <w:rFonts w:ascii="Arial" w:hAnsi="Arial" w:cs="Arial"/>
            <w:sz w:val="18"/>
            <w:szCs w:val="18"/>
          </w:rPr>
          <w:t>https://doi.org/10.30574/gscbps.2020.13.2.0379</w:t>
        </w:r>
      </w:hyperlink>
      <w:r w:rsidRPr="00574E65">
        <w:rPr>
          <w:rFonts w:ascii="Arial" w:hAnsi="Arial" w:cs="Arial"/>
          <w:sz w:val="18"/>
          <w:szCs w:val="18"/>
        </w:rPr>
        <w:t xml:space="preserve"> </w:t>
      </w:r>
    </w:p>
    <w:p w14:paraId="0E317EEF" w14:textId="77777777" w:rsidR="00AE2A46" w:rsidRPr="00574E65" w:rsidRDefault="00AE2A46" w:rsidP="00AE2A46">
      <w:pPr>
        <w:spacing w:after="120"/>
        <w:jc w:val="both"/>
        <w:rPr>
          <w:rFonts w:ascii="Arial" w:hAnsi="Arial" w:cs="Arial"/>
          <w:sz w:val="18"/>
          <w:szCs w:val="18"/>
        </w:rPr>
      </w:pPr>
      <w:r w:rsidRPr="00574E65">
        <w:rPr>
          <w:rFonts w:ascii="Arial" w:hAnsi="Arial" w:cs="Arial"/>
          <w:sz w:val="18"/>
          <w:szCs w:val="18"/>
          <w:lang w:val="en-IN"/>
        </w:rPr>
        <w:t xml:space="preserve">Novaryatiin, S., Nuramanah, R., Isnawati, I., Susanti, S., Kanahuang, D. S. R., &amp; Ardhany, S. D. (2024). Formulation, physical characterization, and antibacterial activity of modifications of Bawang Dayak Eleutherine bulbosa (Mill.) Urb. anti-acne cream. </w:t>
      </w:r>
      <w:r w:rsidRPr="00574E65">
        <w:rPr>
          <w:rFonts w:ascii="Arial" w:hAnsi="Arial" w:cs="Arial"/>
          <w:i/>
          <w:iCs/>
          <w:sz w:val="18"/>
          <w:szCs w:val="18"/>
          <w:lang w:val="en-IN"/>
        </w:rPr>
        <w:t>Journal of Herbal Medicine</w:t>
      </w:r>
      <w:r w:rsidRPr="00574E65">
        <w:rPr>
          <w:rFonts w:ascii="Arial" w:hAnsi="Arial" w:cs="Arial"/>
          <w:sz w:val="18"/>
          <w:szCs w:val="18"/>
          <w:lang w:val="en-IN"/>
        </w:rPr>
        <w:t xml:space="preserve">, </w:t>
      </w:r>
      <w:r w:rsidRPr="00574E65">
        <w:rPr>
          <w:rFonts w:ascii="Arial" w:hAnsi="Arial" w:cs="Arial"/>
          <w:i/>
          <w:iCs/>
          <w:sz w:val="18"/>
          <w:szCs w:val="18"/>
          <w:lang w:val="en-IN"/>
        </w:rPr>
        <w:t>45</w:t>
      </w:r>
      <w:r w:rsidRPr="00574E65">
        <w:rPr>
          <w:rFonts w:ascii="Arial" w:hAnsi="Arial" w:cs="Arial"/>
          <w:sz w:val="18"/>
          <w:szCs w:val="18"/>
          <w:lang w:val="en-IN"/>
        </w:rPr>
        <w:t xml:space="preserve">, 100869. </w:t>
      </w:r>
      <w:hyperlink r:id="rId45" w:history="1">
        <w:r w:rsidRPr="00574E65">
          <w:rPr>
            <w:rStyle w:val="Hyperlink"/>
            <w:rFonts w:ascii="Arial" w:hAnsi="Arial" w:cs="Arial"/>
            <w:sz w:val="18"/>
            <w:szCs w:val="18"/>
          </w:rPr>
          <w:t>https://doi.org/10.1016/j.hermed.2024.100869</w:t>
        </w:r>
      </w:hyperlink>
    </w:p>
    <w:p w14:paraId="1BDF5C96" w14:textId="77777777" w:rsidR="00AE2A46" w:rsidRPr="00574E65" w:rsidRDefault="00AE2A46" w:rsidP="00AE2A46">
      <w:pPr>
        <w:spacing w:after="120"/>
        <w:jc w:val="both"/>
        <w:rPr>
          <w:rFonts w:ascii="Arial" w:hAnsi="Arial" w:cs="Arial"/>
          <w:sz w:val="18"/>
          <w:szCs w:val="18"/>
        </w:rPr>
      </w:pPr>
      <w:r w:rsidRPr="00574E65">
        <w:rPr>
          <w:rFonts w:ascii="Arial" w:hAnsi="Arial" w:cs="Arial"/>
          <w:sz w:val="18"/>
          <w:szCs w:val="18"/>
          <w:lang w:val="en-IN"/>
        </w:rPr>
        <w:t xml:space="preserve">Nurman, S., Yulia, R., Irmayanti, Noor, E., &amp; Candra Sunarti, T. (2019). The optimization of gel preparations using the active compounds of arabica coffee ground nanoparticles. </w:t>
      </w:r>
      <w:r w:rsidRPr="00574E65">
        <w:rPr>
          <w:rFonts w:ascii="Arial" w:hAnsi="Arial" w:cs="Arial"/>
          <w:i/>
          <w:iCs/>
          <w:sz w:val="18"/>
          <w:szCs w:val="18"/>
          <w:lang w:val="en-IN"/>
        </w:rPr>
        <w:t>Scientia Pharmaceutica</w:t>
      </w:r>
      <w:r w:rsidRPr="00574E65">
        <w:rPr>
          <w:rFonts w:ascii="Arial" w:hAnsi="Arial" w:cs="Arial"/>
          <w:sz w:val="18"/>
          <w:szCs w:val="18"/>
          <w:lang w:val="en-IN"/>
        </w:rPr>
        <w:t xml:space="preserve">, </w:t>
      </w:r>
      <w:r w:rsidRPr="00574E65">
        <w:rPr>
          <w:rFonts w:ascii="Arial" w:hAnsi="Arial" w:cs="Arial"/>
          <w:i/>
          <w:iCs/>
          <w:sz w:val="18"/>
          <w:szCs w:val="18"/>
          <w:lang w:val="en-IN"/>
        </w:rPr>
        <w:t>87</w:t>
      </w:r>
      <w:r w:rsidRPr="00574E65">
        <w:rPr>
          <w:rFonts w:ascii="Arial" w:hAnsi="Arial" w:cs="Arial"/>
          <w:sz w:val="18"/>
          <w:szCs w:val="18"/>
          <w:lang w:val="en-IN"/>
        </w:rPr>
        <w:t xml:space="preserve">(4), 32. </w:t>
      </w:r>
      <w:hyperlink r:id="rId46" w:history="1">
        <w:r w:rsidRPr="00574E65">
          <w:rPr>
            <w:rStyle w:val="Hyperlink"/>
            <w:rFonts w:ascii="Arial" w:hAnsi="Arial" w:cs="Arial"/>
            <w:sz w:val="18"/>
            <w:szCs w:val="18"/>
          </w:rPr>
          <w:t>https://doi.org/10.3390/scipharm87040032</w:t>
        </w:r>
      </w:hyperlink>
    </w:p>
    <w:p w14:paraId="62EF9E16" w14:textId="77777777" w:rsidR="00AE2A46" w:rsidRPr="00574E65" w:rsidRDefault="00AE2A46" w:rsidP="00AE2A46">
      <w:pPr>
        <w:spacing w:after="120"/>
        <w:jc w:val="both"/>
        <w:rPr>
          <w:rFonts w:ascii="Arial" w:hAnsi="Arial" w:cs="Arial"/>
          <w:sz w:val="18"/>
          <w:szCs w:val="18"/>
          <w:lang w:val="en-IN"/>
        </w:rPr>
      </w:pPr>
      <w:r w:rsidRPr="00574E65">
        <w:rPr>
          <w:rFonts w:ascii="Arial" w:hAnsi="Arial" w:cs="Arial"/>
          <w:sz w:val="18"/>
          <w:szCs w:val="18"/>
          <w:lang w:val="en-IN"/>
        </w:rPr>
        <w:t xml:space="preserve">Parikh, S. J., &amp; Chorover, J. (2005). FTIR spectroscopic study of biogenic Mn-oxide formation by Pseudomonas putida GB-1. </w:t>
      </w:r>
      <w:r w:rsidRPr="00574E65">
        <w:rPr>
          <w:rFonts w:ascii="Arial" w:hAnsi="Arial" w:cs="Arial"/>
          <w:i/>
          <w:iCs/>
          <w:sz w:val="18"/>
          <w:szCs w:val="18"/>
          <w:lang w:val="en-IN"/>
        </w:rPr>
        <w:t>Geomicrobiology Journal</w:t>
      </w:r>
      <w:r w:rsidRPr="00574E65">
        <w:rPr>
          <w:rFonts w:ascii="Arial" w:hAnsi="Arial" w:cs="Arial"/>
          <w:sz w:val="18"/>
          <w:szCs w:val="18"/>
          <w:lang w:val="en-IN"/>
        </w:rPr>
        <w:t xml:space="preserve">, </w:t>
      </w:r>
      <w:r w:rsidRPr="00574E65">
        <w:rPr>
          <w:rFonts w:ascii="Arial" w:hAnsi="Arial" w:cs="Arial"/>
          <w:i/>
          <w:iCs/>
          <w:sz w:val="18"/>
          <w:szCs w:val="18"/>
          <w:lang w:val="en-IN"/>
        </w:rPr>
        <w:t>22</w:t>
      </w:r>
      <w:r w:rsidRPr="00574E65">
        <w:rPr>
          <w:rFonts w:ascii="Arial" w:hAnsi="Arial" w:cs="Arial"/>
          <w:sz w:val="18"/>
          <w:szCs w:val="18"/>
          <w:lang w:val="en-IN"/>
        </w:rPr>
        <w:t xml:space="preserve">(5), 207-218. </w:t>
      </w:r>
      <w:hyperlink r:id="rId47" w:history="1">
        <w:r w:rsidRPr="00574E65">
          <w:rPr>
            <w:rStyle w:val="Hyperlink"/>
            <w:rFonts w:ascii="Arial" w:hAnsi="Arial" w:cs="Arial"/>
            <w:sz w:val="18"/>
            <w:szCs w:val="18"/>
            <w:lang w:val="en-IN"/>
          </w:rPr>
          <w:t>https://doi.org/10.1080/01490450590947724</w:t>
        </w:r>
      </w:hyperlink>
      <w:r w:rsidRPr="00574E65">
        <w:rPr>
          <w:rFonts w:ascii="Arial" w:hAnsi="Arial" w:cs="Arial"/>
          <w:sz w:val="18"/>
          <w:szCs w:val="18"/>
          <w:lang w:val="en-IN"/>
        </w:rPr>
        <w:t xml:space="preserve"> </w:t>
      </w:r>
    </w:p>
    <w:p w14:paraId="1D90A9A8" w14:textId="77777777" w:rsidR="00AE2A46" w:rsidRPr="00574E65" w:rsidRDefault="00AE2A46" w:rsidP="00AE2A46">
      <w:pPr>
        <w:spacing w:after="120"/>
        <w:jc w:val="both"/>
        <w:rPr>
          <w:rFonts w:ascii="Arial" w:hAnsi="Arial" w:cs="Arial"/>
          <w:sz w:val="18"/>
          <w:szCs w:val="18"/>
          <w:lang w:val="en-IN"/>
        </w:rPr>
      </w:pPr>
      <w:r w:rsidRPr="00574E65">
        <w:rPr>
          <w:rFonts w:ascii="Arial" w:hAnsi="Arial" w:cs="Arial"/>
          <w:sz w:val="18"/>
          <w:szCs w:val="18"/>
          <w:lang w:val="en-IN"/>
        </w:rPr>
        <w:t xml:space="preserve">Pugashetti, R., &amp; Shinkai, K. (2013). Treatment of acne vulgaris in pregnant patients. </w:t>
      </w:r>
      <w:r w:rsidRPr="00574E65">
        <w:rPr>
          <w:rFonts w:ascii="Arial" w:hAnsi="Arial" w:cs="Arial"/>
          <w:i/>
          <w:iCs/>
          <w:sz w:val="18"/>
          <w:szCs w:val="18"/>
          <w:lang w:val="en-IN"/>
        </w:rPr>
        <w:t>Dermatologic Therapy</w:t>
      </w:r>
      <w:r w:rsidRPr="00574E65">
        <w:rPr>
          <w:rFonts w:ascii="Arial" w:hAnsi="Arial" w:cs="Arial"/>
          <w:sz w:val="18"/>
          <w:szCs w:val="18"/>
          <w:lang w:val="en-IN"/>
        </w:rPr>
        <w:t xml:space="preserve">, </w:t>
      </w:r>
      <w:r w:rsidRPr="00574E65">
        <w:rPr>
          <w:rFonts w:ascii="Arial" w:hAnsi="Arial" w:cs="Arial"/>
          <w:i/>
          <w:iCs/>
          <w:sz w:val="18"/>
          <w:szCs w:val="18"/>
          <w:lang w:val="en-IN"/>
        </w:rPr>
        <w:t>26</w:t>
      </w:r>
      <w:r w:rsidRPr="00574E65">
        <w:rPr>
          <w:rFonts w:ascii="Arial" w:hAnsi="Arial" w:cs="Arial"/>
          <w:sz w:val="18"/>
          <w:szCs w:val="18"/>
          <w:lang w:val="en-IN"/>
        </w:rPr>
        <w:t xml:space="preserve">(4), 302-311. </w:t>
      </w:r>
      <w:hyperlink r:id="rId48" w:history="1">
        <w:r w:rsidRPr="00574E65">
          <w:rPr>
            <w:rStyle w:val="Hyperlink"/>
            <w:rFonts w:ascii="Arial" w:hAnsi="Arial" w:cs="Arial"/>
            <w:sz w:val="18"/>
            <w:szCs w:val="18"/>
            <w:lang w:val="en-IN"/>
          </w:rPr>
          <w:t>https://doi.org/10.1111/dth.12077</w:t>
        </w:r>
      </w:hyperlink>
      <w:r w:rsidRPr="00574E65">
        <w:rPr>
          <w:rFonts w:ascii="Arial" w:hAnsi="Arial" w:cs="Arial"/>
          <w:sz w:val="18"/>
          <w:szCs w:val="18"/>
          <w:lang w:val="en-IN"/>
        </w:rPr>
        <w:t xml:space="preserve"> </w:t>
      </w:r>
    </w:p>
    <w:p w14:paraId="51C94894" w14:textId="77777777" w:rsidR="00AE2A46" w:rsidRPr="00574E65" w:rsidRDefault="00AE2A46" w:rsidP="00AE2A46">
      <w:pPr>
        <w:spacing w:after="120"/>
        <w:jc w:val="both"/>
        <w:rPr>
          <w:rFonts w:ascii="Arial" w:hAnsi="Arial" w:cs="Arial"/>
          <w:sz w:val="18"/>
          <w:szCs w:val="18"/>
          <w:lang w:val="en-IN"/>
        </w:rPr>
      </w:pPr>
      <w:r w:rsidRPr="00574E65">
        <w:rPr>
          <w:rFonts w:ascii="Arial" w:hAnsi="Arial" w:cs="Arial"/>
          <w:sz w:val="18"/>
          <w:szCs w:val="18"/>
          <w:lang w:val="en-IN"/>
        </w:rPr>
        <w:t xml:space="preserve">Ramdas, R. S., Rasny, M. R. M., Xian, B. T. S., Kaleemullah, M., Khan, J., &amp; Asmani, F. (2022). Evaluation of antioxidant and antibacterial activity of ethanolic leaf and stem extract of IPOMOEA aquatica against skin infection. </w:t>
      </w:r>
      <w:r w:rsidRPr="00574E65">
        <w:rPr>
          <w:rFonts w:ascii="Arial" w:hAnsi="Arial" w:cs="Arial"/>
          <w:i/>
          <w:iCs/>
          <w:sz w:val="18"/>
          <w:szCs w:val="18"/>
          <w:lang w:val="en-IN"/>
        </w:rPr>
        <w:t>International Journal of Medical Toxicology &amp; Legal Medicine</w:t>
      </w:r>
      <w:r w:rsidRPr="00574E65">
        <w:rPr>
          <w:rFonts w:ascii="Arial" w:hAnsi="Arial" w:cs="Arial"/>
          <w:sz w:val="18"/>
          <w:szCs w:val="18"/>
          <w:lang w:val="en-IN"/>
        </w:rPr>
        <w:t xml:space="preserve">, </w:t>
      </w:r>
      <w:r w:rsidRPr="00574E65">
        <w:rPr>
          <w:rFonts w:ascii="Arial" w:hAnsi="Arial" w:cs="Arial"/>
          <w:i/>
          <w:iCs/>
          <w:sz w:val="18"/>
          <w:szCs w:val="18"/>
          <w:lang w:val="en-IN"/>
        </w:rPr>
        <w:t>25</w:t>
      </w:r>
      <w:r w:rsidRPr="00574E65">
        <w:rPr>
          <w:rFonts w:ascii="Arial" w:hAnsi="Arial" w:cs="Arial"/>
          <w:sz w:val="18"/>
          <w:szCs w:val="18"/>
          <w:lang w:val="en-IN"/>
        </w:rPr>
        <w:t xml:space="preserve">(3and4), 7-13. </w:t>
      </w:r>
      <w:hyperlink r:id="rId49" w:history="1">
        <w:r w:rsidRPr="00574E65">
          <w:rPr>
            <w:rStyle w:val="Hyperlink"/>
            <w:rFonts w:ascii="Arial" w:hAnsi="Arial" w:cs="Arial"/>
            <w:sz w:val="18"/>
            <w:szCs w:val="18"/>
            <w:lang w:val="en-IN"/>
          </w:rPr>
          <w:t>https://doi.org/10.5958/0974-4614.2022.00043.2</w:t>
        </w:r>
      </w:hyperlink>
      <w:r w:rsidRPr="00574E65">
        <w:rPr>
          <w:rFonts w:ascii="Arial" w:hAnsi="Arial" w:cs="Arial"/>
          <w:sz w:val="18"/>
          <w:szCs w:val="18"/>
          <w:lang w:val="en-IN"/>
        </w:rPr>
        <w:t xml:space="preserve"> </w:t>
      </w:r>
    </w:p>
    <w:p w14:paraId="31F23899" w14:textId="77777777" w:rsidR="00AE2A46" w:rsidRPr="00574E65" w:rsidRDefault="00AE2A46" w:rsidP="00AE2A46">
      <w:pPr>
        <w:spacing w:after="120"/>
        <w:jc w:val="both"/>
        <w:rPr>
          <w:rFonts w:ascii="Arial" w:hAnsi="Arial" w:cs="Arial"/>
          <w:sz w:val="18"/>
          <w:szCs w:val="18"/>
          <w:lang w:val="en-IN"/>
        </w:rPr>
      </w:pPr>
      <w:r w:rsidRPr="00574E65">
        <w:rPr>
          <w:rFonts w:ascii="Arial" w:hAnsi="Arial" w:cs="Arial"/>
          <w:sz w:val="18"/>
          <w:szCs w:val="18"/>
          <w:lang w:val="en-IN"/>
        </w:rPr>
        <w:t xml:space="preserve">Rau, A., Keri, J., &amp; Murase, J. E. (2024). Management of acne in pregnancy. </w:t>
      </w:r>
      <w:r w:rsidRPr="00574E65">
        <w:rPr>
          <w:rFonts w:ascii="Arial" w:hAnsi="Arial" w:cs="Arial"/>
          <w:i/>
          <w:iCs/>
          <w:sz w:val="18"/>
          <w:szCs w:val="18"/>
          <w:lang w:val="en-IN"/>
        </w:rPr>
        <w:t>American Journal of Clinical Dermatology</w:t>
      </w:r>
      <w:r w:rsidRPr="00574E65">
        <w:rPr>
          <w:rFonts w:ascii="Arial" w:hAnsi="Arial" w:cs="Arial"/>
          <w:sz w:val="18"/>
          <w:szCs w:val="18"/>
          <w:lang w:val="en-IN"/>
        </w:rPr>
        <w:t xml:space="preserve">, </w:t>
      </w:r>
      <w:r w:rsidRPr="00574E65">
        <w:rPr>
          <w:rFonts w:ascii="Arial" w:hAnsi="Arial" w:cs="Arial"/>
          <w:i/>
          <w:iCs/>
          <w:sz w:val="18"/>
          <w:szCs w:val="18"/>
          <w:lang w:val="en-IN"/>
        </w:rPr>
        <w:t>25</w:t>
      </w:r>
      <w:r w:rsidRPr="00574E65">
        <w:rPr>
          <w:rFonts w:ascii="Arial" w:hAnsi="Arial" w:cs="Arial"/>
          <w:sz w:val="18"/>
          <w:szCs w:val="18"/>
          <w:lang w:val="en-IN"/>
        </w:rPr>
        <w:t xml:space="preserve">(3), 465-471. </w:t>
      </w:r>
      <w:hyperlink r:id="rId50" w:history="1">
        <w:r w:rsidRPr="00574E65">
          <w:rPr>
            <w:rStyle w:val="Hyperlink"/>
            <w:rFonts w:ascii="Arial" w:hAnsi="Arial" w:cs="Arial"/>
            <w:sz w:val="18"/>
            <w:szCs w:val="18"/>
          </w:rPr>
          <w:t>https://doi.org/10.1007/s40257-024-00851-6</w:t>
        </w:r>
      </w:hyperlink>
      <w:r w:rsidRPr="00574E65">
        <w:rPr>
          <w:rFonts w:ascii="Arial" w:hAnsi="Arial" w:cs="Arial"/>
          <w:sz w:val="18"/>
          <w:szCs w:val="18"/>
        </w:rPr>
        <w:t xml:space="preserve"> </w:t>
      </w:r>
    </w:p>
    <w:p w14:paraId="34720F76" w14:textId="77777777" w:rsidR="00AE2A46" w:rsidRPr="00574E65" w:rsidRDefault="00AE2A46" w:rsidP="00AE2A46">
      <w:pPr>
        <w:spacing w:after="120"/>
        <w:jc w:val="both"/>
        <w:rPr>
          <w:rFonts w:ascii="Arial" w:hAnsi="Arial" w:cs="Arial"/>
          <w:sz w:val="18"/>
          <w:szCs w:val="18"/>
          <w:lang w:val="en-IN"/>
        </w:rPr>
      </w:pPr>
      <w:r w:rsidRPr="00574E65">
        <w:rPr>
          <w:rFonts w:ascii="Arial" w:hAnsi="Arial" w:cs="Arial"/>
          <w:sz w:val="18"/>
          <w:szCs w:val="18"/>
          <w:lang w:val="en-IN"/>
        </w:rPr>
        <w:t xml:space="preserve">Smaoui, S., Hlima, H. B., Chobba, I. B., &amp; Kadri, A. (2017). Development and stability studies of sunscreen cream formulations containing three photo-protective filters. </w:t>
      </w:r>
      <w:r w:rsidRPr="00574E65">
        <w:rPr>
          <w:rFonts w:ascii="Arial" w:hAnsi="Arial" w:cs="Arial"/>
          <w:i/>
          <w:iCs/>
          <w:sz w:val="18"/>
          <w:szCs w:val="18"/>
          <w:lang w:val="en-IN"/>
        </w:rPr>
        <w:t>Arabian Journal of Chemistry</w:t>
      </w:r>
      <w:r w:rsidRPr="00574E65">
        <w:rPr>
          <w:rFonts w:ascii="Arial" w:hAnsi="Arial" w:cs="Arial"/>
          <w:sz w:val="18"/>
          <w:szCs w:val="18"/>
          <w:lang w:val="en-IN"/>
        </w:rPr>
        <w:t xml:space="preserve">, </w:t>
      </w:r>
      <w:r w:rsidRPr="00574E65">
        <w:rPr>
          <w:rFonts w:ascii="Arial" w:hAnsi="Arial" w:cs="Arial"/>
          <w:i/>
          <w:iCs/>
          <w:sz w:val="18"/>
          <w:szCs w:val="18"/>
          <w:lang w:val="en-IN"/>
        </w:rPr>
        <w:t>10</w:t>
      </w:r>
      <w:r w:rsidRPr="00574E65">
        <w:rPr>
          <w:rFonts w:ascii="Arial" w:hAnsi="Arial" w:cs="Arial"/>
          <w:sz w:val="18"/>
          <w:szCs w:val="18"/>
          <w:lang w:val="en-IN"/>
        </w:rPr>
        <w:t xml:space="preserve">(Supp 1), S1216-S1222. </w:t>
      </w:r>
      <w:hyperlink r:id="rId51" w:history="1">
        <w:r w:rsidRPr="00574E65">
          <w:rPr>
            <w:rStyle w:val="Hyperlink"/>
            <w:rFonts w:ascii="Arial" w:hAnsi="Arial" w:cs="Arial"/>
            <w:sz w:val="18"/>
            <w:szCs w:val="18"/>
            <w:lang w:val="en-IN"/>
          </w:rPr>
          <w:t>https://doi.org/10.1016/j.arabjc.2013.02.020</w:t>
        </w:r>
      </w:hyperlink>
      <w:r w:rsidRPr="00574E65">
        <w:rPr>
          <w:rFonts w:ascii="Arial" w:hAnsi="Arial" w:cs="Arial"/>
          <w:sz w:val="18"/>
          <w:szCs w:val="18"/>
          <w:lang w:val="en-IN"/>
        </w:rPr>
        <w:t xml:space="preserve"> </w:t>
      </w:r>
    </w:p>
    <w:p w14:paraId="16C7FF75" w14:textId="77777777" w:rsidR="00AE2A46" w:rsidRPr="00574E65" w:rsidRDefault="00AE2A46" w:rsidP="00AE2A46">
      <w:pPr>
        <w:spacing w:after="120"/>
        <w:jc w:val="both"/>
        <w:rPr>
          <w:rFonts w:ascii="Arial" w:hAnsi="Arial" w:cs="Arial"/>
          <w:sz w:val="18"/>
          <w:szCs w:val="18"/>
          <w:lang w:val="en-IN"/>
        </w:rPr>
      </w:pPr>
      <w:r w:rsidRPr="00574E65">
        <w:rPr>
          <w:rFonts w:ascii="Arial" w:hAnsi="Arial" w:cs="Arial"/>
          <w:sz w:val="18"/>
          <w:szCs w:val="18"/>
          <w:lang w:val="en-IN"/>
        </w:rPr>
        <w:t xml:space="preserve">Susanti, S., &amp; Asri, M. T. (2024). </w:t>
      </w:r>
      <w:r w:rsidRPr="00574E65">
        <w:rPr>
          <w:rFonts w:ascii="Arial" w:hAnsi="Arial" w:cs="Arial"/>
          <w:sz w:val="18"/>
          <w:szCs w:val="18"/>
        </w:rPr>
        <w:t xml:space="preserve">Antibacterial activity of avocado peel extract and basil leaves against Staphylococcus epidermidis. </w:t>
      </w:r>
      <w:r w:rsidRPr="00574E65">
        <w:rPr>
          <w:rFonts w:ascii="Arial" w:hAnsi="Arial" w:cs="Arial"/>
          <w:i/>
          <w:iCs/>
          <w:sz w:val="18"/>
          <w:szCs w:val="18"/>
          <w:lang w:val="en-IN"/>
        </w:rPr>
        <w:t>LenteraBio: Berkala Ilmiah Biologi</w:t>
      </w:r>
      <w:r w:rsidRPr="00574E65">
        <w:rPr>
          <w:rFonts w:ascii="Arial" w:hAnsi="Arial" w:cs="Arial"/>
          <w:sz w:val="18"/>
          <w:szCs w:val="18"/>
          <w:lang w:val="en-IN"/>
        </w:rPr>
        <w:t xml:space="preserve">, </w:t>
      </w:r>
      <w:r w:rsidRPr="00574E65">
        <w:rPr>
          <w:rFonts w:ascii="Arial" w:hAnsi="Arial" w:cs="Arial"/>
          <w:i/>
          <w:iCs/>
          <w:sz w:val="18"/>
          <w:szCs w:val="18"/>
          <w:lang w:val="en-IN"/>
        </w:rPr>
        <w:t>13</w:t>
      </w:r>
      <w:r w:rsidRPr="00574E65">
        <w:rPr>
          <w:rFonts w:ascii="Arial" w:hAnsi="Arial" w:cs="Arial"/>
          <w:sz w:val="18"/>
          <w:szCs w:val="18"/>
          <w:lang w:val="en-IN"/>
        </w:rPr>
        <w:t xml:space="preserve">(2), 236-243. </w:t>
      </w:r>
      <w:hyperlink r:id="rId52" w:history="1">
        <w:r w:rsidRPr="00574E65">
          <w:rPr>
            <w:rStyle w:val="Hyperlink"/>
            <w:rFonts w:ascii="Arial" w:hAnsi="Arial" w:cs="Arial"/>
            <w:sz w:val="18"/>
            <w:szCs w:val="18"/>
            <w:lang w:val="en-IN"/>
          </w:rPr>
          <w:t>https://doi.org/10.26740/lenterabio.v13n2.p236-243</w:t>
        </w:r>
      </w:hyperlink>
      <w:r w:rsidRPr="00574E65">
        <w:rPr>
          <w:rFonts w:ascii="Arial" w:hAnsi="Arial" w:cs="Arial"/>
          <w:sz w:val="18"/>
          <w:szCs w:val="18"/>
          <w:lang w:val="en-IN"/>
        </w:rPr>
        <w:t xml:space="preserve"> </w:t>
      </w:r>
    </w:p>
    <w:p w14:paraId="119FD9F6" w14:textId="77777777" w:rsidR="00AE2A46" w:rsidRPr="00574E65" w:rsidRDefault="00AE2A46" w:rsidP="00AE2A46">
      <w:pPr>
        <w:spacing w:after="120"/>
        <w:jc w:val="both"/>
        <w:rPr>
          <w:rFonts w:ascii="Arial" w:hAnsi="Arial" w:cs="Arial"/>
          <w:sz w:val="18"/>
          <w:szCs w:val="18"/>
          <w:lang w:val="en-IN"/>
        </w:rPr>
      </w:pPr>
      <w:r w:rsidRPr="00574E65">
        <w:rPr>
          <w:rFonts w:ascii="Arial" w:hAnsi="Arial" w:cs="Arial"/>
          <w:sz w:val="18"/>
          <w:szCs w:val="18"/>
          <w:lang w:val="en-IN"/>
        </w:rPr>
        <w:t xml:space="preserve">Tan, A. U., Schlosser, B. J., &amp; Paller, A. S. (2018). A review of diagnosis and treatment of acne in adult female patients. </w:t>
      </w:r>
      <w:r w:rsidRPr="00574E65">
        <w:rPr>
          <w:rFonts w:ascii="Arial" w:hAnsi="Arial" w:cs="Arial"/>
          <w:i/>
          <w:iCs/>
          <w:sz w:val="18"/>
          <w:szCs w:val="18"/>
          <w:lang w:val="en-IN"/>
        </w:rPr>
        <w:t>International Journal of Women's Dermatology</w:t>
      </w:r>
      <w:r w:rsidRPr="00574E65">
        <w:rPr>
          <w:rFonts w:ascii="Arial" w:hAnsi="Arial" w:cs="Arial"/>
          <w:sz w:val="18"/>
          <w:szCs w:val="18"/>
          <w:lang w:val="en-IN"/>
        </w:rPr>
        <w:t xml:space="preserve">, </w:t>
      </w:r>
      <w:r w:rsidRPr="00574E65">
        <w:rPr>
          <w:rFonts w:ascii="Arial" w:hAnsi="Arial" w:cs="Arial"/>
          <w:i/>
          <w:iCs/>
          <w:sz w:val="18"/>
          <w:szCs w:val="18"/>
          <w:lang w:val="en-IN"/>
        </w:rPr>
        <w:t>4</w:t>
      </w:r>
      <w:r w:rsidRPr="00574E65">
        <w:rPr>
          <w:rFonts w:ascii="Arial" w:hAnsi="Arial" w:cs="Arial"/>
          <w:sz w:val="18"/>
          <w:szCs w:val="18"/>
          <w:lang w:val="en-IN"/>
        </w:rPr>
        <w:t xml:space="preserve">(2), 56-71. </w:t>
      </w:r>
      <w:hyperlink r:id="rId53" w:history="1">
        <w:r w:rsidRPr="00574E65">
          <w:rPr>
            <w:rStyle w:val="Hyperlink"/>
            <w:rFonts w:ascii="Arial" w:hAnsi="Arial" w:cs="Arial"/>
            <w:sz w:val="18"/>
            <w:szCs w:val="18"/>
            <w:lang w:val="en-IN"/>
          </w:rPr>
          <w:t>https://doi.org/10.1016/j.ijwd.2017.10.006</w:t>
        </w:r>
      </w:hyperlink>
      <w:r w:rsidRPr="00574E65">
        <w:rPr>
          <w:rFonts w:ascii="Arial" w:hAnsi="Arial" w:cs="Arial"/>
          <w:sz w:val="18"/>
          <w:szCs w:val="18"/>
          <w:lang w:val="en-IN"/>
        </w:rPr>
        <w:t xml:space="preserve"> </w:t>
      </w:r>
    </w:p>
    <w:p w14:paraId="3C797D85" w14:textId="77777777" w:rsidR="00AE2A46" w:rsidRPr="00574E65" w:rsidRDefault="00AE2A46" w:rsidP="00AE2A46">
      <w:pPr>
        <w:spacing w:after="120"/>
        <w:jc w:val="both"/>
        <w:rPr>
          <w:rFonts w:ascii="Arial" w:hAnsi="Arial" w:cs="Arial"/>
          <w:sz w:val="18"/>
          <w:szCs w:val="18"/>
          <w:lang w:val="en-IN"/>
        </w:rPr>
      </w:pPr>
      <w:r w:rsidRPr="00574E65">
        <w:rPr>
          <w:rFonts w:ascii="Arial" w:hAnsi="Arial" w:cs="Arial"/>
          <w:sz w:val="18"/>
          <w:szCs w:val="18"/>
          <w:lang w:val="en-IN"/>
        </w:rPr>
        <w:t xml:space="preserve">Jones, S. V., Ambros-Rudolph, C., &amp; Nelson-Piercy, C. (2014). Skin disease in pregnancy. </w:t>
      </w:r>
      <w:r w:rsidRPr="00574E65">
        <w:rPr>
          <w:rFonts w:ascii="Arial" w:hAnsi="Arial" w:cs="Arial"/>
          <w:i/>
          <w:iCs/>
          <w:sz w:val="18"/>
          <w:szCs w:val="18"/>
          <w:lang w:val="en-IN"/>
        </w:rPr>
        <w:t>Bmj</w:t>
      </w:r>
      <w:r w:rsidRPr="00574E65">
        <w:rPr>
          <w:rFonts w:ascii="Arial" w:hAnsi="Arial" w:cs="Arial"/>
          <w:sz w:val="18"/>
          <w:szCs w:val="18"/>
          <w:lang w:val="en-IN"/>
        </w:rPr>
        <w:t xml:space="preserve">, </w:t>
      </w:r>
      <w:r w:rsidRPr="00574E65">
        <w:rPr>
          <w:rFonts w:ascii="Arial" w:hAnsi="Arial" w:cs="Arial"/>
          <w:i/>
          <w:iCs/>
          <w:sz w:val="18"/>
          <w:szCs w:val="18"/>
          <w:lang w:val="en-IN"/>
        </w:rPr>
        <w:t>348</w:t>
      </w:r>
      <w:r w:rsidRPr="00574E65">
        <w:rPr>
          <w:rFonts w:ascii="Arial" w:hAnsi="Arial" w:cs="Arial"/>
          <w:sz w:val="18"/>
          <w:szCs w:val="18"/>
          <w:lang w:val="en-IN"/>
        </w:rPr>
        <w:t>.</w:t>
      </w:r>
      <w:r w:rsidRPr="00574E65">
        <w:rPr>
          <w:sz w:val="18"/>
          <w:szCs w:val="18"/>
        </w:rPr>
        <w:t xml:space="preserve"> </w:t>
      </w:r>
      <w:hyperlink r:id="rId54" w:history="1">
        <w:r w:rsidRPr="00574E65">
          <w:rPr>
            <w:rStyle w:val="Hyperlink"/>
            <w:rFonts w:ascii="Arial" w:hAnsi="Arial" w:cs="Arial"/>
            <w:sz w:val="18"/>
            <w:szCs w:val="18"/>
            <w:lang w:val="en-IN"/>
          </w:rPr>
          <w:t>https://doi.org/10.1136/bmj.g3489</w:t>
        </w:r>
      </w:hyperlink>
      <w:r w:rsidRPr="00574E65">
        <w:rPr>
          <w:rFonts w:ascii="Arial" w:hAnsi="Arial" w:cs="Arial"/>
          <w:sz w:val="18"/>
          <w:szCs w:val="18"/>
          <w:lang w:val="en-IN"/>
        </w:rPr>
        <w:t xml:space="preserve">   </w:t>
      </w:r>
    </w:p>
    <w:p w14:paraId="1BD13847" w14:textId="77777777" w:rsidR="00AE2A46" w:rsidRPr="00574E65" w:rsidRDefault="00AE2A46" w:rsidP="00AE2A46">
      <w:pPr>
        <w:spacing w:after="120"/>
        <w:jc w:val="both"/>
        <w:rPr>
          <w:rFonts w:ascii="Arial" w:hAnsi="Arial" w:cs="Arial"/>
          <w:sz w:val="18"/>
          <w:szCs w:val="18"/>
          <w:lang w:val="en-IN"/>
        </w:rPr>
      </w:pPr>
      <w:r w:rsidRPr="00574E65">
        <w:rPr>
          <w:rFonts w:ascii="Arial" w:hAnsi="Arial" w:cs="Arial"/>
          <w:sz w:val="18"/>
          <w:szCs w:val="18"/>
          <w:lang w:val="en-IN"/>
        </w:rPr>
        <w:t xml:space="preserve">Vora, J., Srivastava, A., &amp; Modi, H. (2018). Antibacterial and antioxidant strategies for acne treatment through plant extracts. </w:t>
      </w:r>
      <w:r w:rsidRPr="00574E65">
        <w:rPr>
          <w:rFonts w:ascii="Arial" w:hAnsi="Arial" w:cs="Arial"/>
          <w:i/>
          <w:iCs/>
          <w:sz w:val="18"/>
          <w:szCs w:val="18"/>
          <w:lang w:val="en-IN"/>
        </w:rPr>
        <w:t>Informatics in Medicine unlocked</w:t>
      </w:r>
      <w:r w:rsidRPr="00574E65">
        <w:rPr>
          <w:rFonts w:ascii="Arial" w:hAnsi="Arial" w:cs="Arial"/>
          <w:sz w:val="18"/>
          <w:szCs w:val="18"/>
          <w:lang w:val="en-IN"/>
        </w:rPr>
        <w:t xml:space="preserve">, </w:t>
      </w:r>
      <w:r w:rsidRPr="00574E65">
        <w:rPr>
          <w:rFonts w:ascii="Arial" w:hAnsi="Arial" w:cs="Arial"/>
          <w:i/>
          <w:iCs/>
          <w:sz w:val="18"/>
          <w:szCs w:val="18"/>
          <w:lang w:val="en-IN"/>
        </w:rPr>
        <w:t>13</w:t>
      </w:r>
      <w:r w:rsidRPr="00574E65">
        <w:rPr>
          <w:rFonts w:ascii="Arial" w:hAnsi="Arial" w:cs="Arial"/>
          <w:sz w:val="18"/>
          <w:szCs w:val="18"/>
          <w:lang w:val="en-IN"/>
        </w:rPr>
        <w:t>, 128-132.</w:t>
      </w:r>
      <w:r w:rsidRPr="00574E65">
        <w:rPr>
          <w:sz w:val="18"/>
          <w:szCs w:val="18"/>
        </w:rPr>
        <w:t xml:space="preserve"> </w:t>
      </w:r>
      <w:hyperlink r:id="rId55" w:history="1">
        <w:r w:rsidRPr="00574E65">
          <w:rPr>
            <w:rStyle w:val="Hyperlink"/>
            <w:rFonts w:ascii="Arial" w:hAnsi="Arial" w:cs="Arial"/>
            <w:sz w:val="18"/>
            <w:szCs w:val="18"/>
            <w:lang w:val="en-IN"/>
          </w:rPr>
          <w:t>https://doi.org/10.1016/j.imu.2017.10.005</w:t>
        </w:r>
      </w:hyperlink>
      <w:r w:rsidRPr="00574E65">
        <w:rPr>
          <w:rFonts w:ascii="Arial" w:hAnsi="Arial" w:cs="Arial"/>
          <w:sz w:val="18"/>
          <w:szCs w:val="18"/>
          <w:lang w:val="en-IN"/>
        </w:rPr>
        <w:t xml:space="preserve"> </w:t>
      </w:r>
    </w:p>
    <w:p w14:paraId="4468B0EB" w14:textId="77777777" w:rsidR="00AE2A46" w:rsidRPr="00574E65" w:rsidRDefault="00AE2A46" w:rsidP="00AE2A46">
      <w:pPr>
        <w:spacing w:after="120"/>
        <w:jc w:val="both"/>
        <w:rPr>
          <w:rFonts w:ascii="Arial" w:hAnsi="Arial" w:cs="Arial"/>
          <w:sz w:val="18"/>
          <w:szCs w:val="18"/>
          <w:lang w:val="en-IN"/>
        </w:rPr>
      </w:pPr>
      <w:r w:rsidRPr="00574E65">
        <w:rPr>
          <w:rFonts w:ascii="Arial" w:hAnsi="Arial" w:cs="Arial"/>
          <w:sz w:val="18"/>
          <w:szCs w:val="18"/>
          <w:lang w:val="en-IN"/>
        </w:rPr>
        <w:t xml:space="preserve">Wahyuningrum, R., Rahayu, W. S., Kaleemullah, M., Fitriani, A. R., &amp; Hapsari, I. (2023). Antibacterial activity clay liquid soap of combination bentonite and pineapple peel ethanolic extract (Ananas Comosus (L.) Merr.) against pseudomonas aeruginosa and bacillus subtilis. </w:t>
      </w:r>
      <w:r w:rsidRPr="00574E65">
        <w:rPr>
          <w:rFonts w:ascii="Arial" w:hAnsi="Arial" w:cs="Arial"/>
          <w:i/>
          <w:iCs/>
          <w:sz w:val="18"/>
          <w:szCs w:val="18"/>
          <w:lang w:val="en-IN"/>
        </w:rPr>
        <w:t>Current Trends in Biotechnology &amp; Pharmacy</w:t>
      </w:r>
      <w:r w:rsidRPr="00574E65">
        <w:rPr>
          <w:rFonts w:ascii="Arial" w:hAnsi="Arial" w:cs="Arial"/>
          <w:sz w:val="18"/>
          <w:szCs w:val="18"/>
          <w:lang w:val="en-IN"/>
        </w:rPr>
        <w:t xml:space="preserve">, </w:t>
      </w:r>
      <w:r w:rsidRPr="00574E65">
        <w:rPr>
          <w:rFonts w:ascii="Arial" w:hAnsi="Arial" w:cs="Arial"/>
          <w:i/>
          <w:iCs/>
          <w:sz w:val="18"/>
          <w:szCs w:val="18"/>
          <w:lang w:val="en-IN"/>
        </w:rPr>
        <w:t>17</w:t>
      </w:r>
      <w:r w:rsidRPr="00574E65">
        <w:rPr>
          <w:rFonts w:ascii="Arial" w:hAnsi="Arial" w:cs="Arial"/>
          <w:sz w:val="18"/>
          <w:szCs w:val="18"/>
          <w:lang w:val="en-IN"/>
        </w:rPr>
        <w:t xml:space="preserve">. </w:t>
      </w:r>
      <w:hyperlink r:id="rId56" w:history="1">
        <w:r w:rsidRPr="00574E65">
          <w:rPr>
            <w:rStyle w:val="Hyperlink"/>
            <w:rFonts w:ascii="Arial" w:hAnsi="Arial" w:cs="Arial"/>
            <w:sz w:val="18"/>
            <w:szCs w:val="18"/>
            <w:lang w:val="en-IN"/>
          </w:rPr>
          <w:t>https://openurl.ebsco.com/EPDB%3Agcd%3A8%3A20224504/detailv2?sid=ebsco%3Aplink%3Ascholar&amp;id=ebsco%3Agcd%3A169859844&amp;crl=c&amp;link_origin=scholar.google.com</w:t>
        </w:r>
      </w:hyperlink>
      <w:r w:rsidRPr="00574E65">
        <w:rPr>
          <w:rFonts w:ascii="Arial" w:hAnsi="Arial" w:cs="Arial"/>
          <w:sz w:val="18"/>
          <w:szCs w:val="18"/>
          <w:lang w:val="en-IN"/>
        </w:rPr>
        <w:t xml:space="preserve"> </w:t>
      </w:r>
    </w:p>
    <w:p w14:paraId="7F57F8E4" w14:textId="77777777" w:rsidR="00AE2A46" w:rsidRPr="00574E65" w:rsidRDefault="00AE2A46" w:rsidP="00AE2A46">
      <w:pPr>
        <w:spacing w:after="120"/>
        <w:jc w:val="both"/>
        <w:rPr>
          <w:rFonts w:ascii="Arial" w:hAnsi="Arial" w:cs="Arial"/>
          <w:sz w:val="18"/>
          <w:szCs w:val="18"/>
          <w:lang w:val="en-IN"/>
        </w:rPr>
      </w:pPr>
      <w:r w:rsidRPr="00574E65">
        <w:rPr>
          <w:rFonts w:ascii="Arial" w:hAnsi="Arial" w:cs="Arial"/>
          <w:sz w:val="18"/>
          <w:szCs w:val="18"/>
          <w:lang w:val="en-IN"/>
        </w:rPr>
        <w:t xml:space="preserve">Weingarth, D., Foelske-Schmitz, A., &amp; Kötz, R. (2013). Cycle versus voltage hold–Which is the better stability test for electrochemical double layer </w:t>
      </w:r>
      <w:proofErr w:type="gramStart"/>
      <w:r w:rsidRPr="00574E65">
        <w:rPr>
          <w:rFonts w:ascii="Arial" w:hAnsi="Arial" w:cs="Arial"/>
          <w:sz w:val="18"/>
          <w:szCs w:val="18"/>
          <w:lang w:val="en-IN"/>
        </w:rPr>
        <w:t>capacitors?.</w:t>
      </w:r>
      <w:proofErr w:type="gramEnd"/>
      <w:r w:rsidRPr="00574E65">
        <w:rPr>
          <w:rFonts w:ascii="Arial" w:hAnsi="Arial" w:cs="Arial"/>
          <w:sz w:val="18"/>
          <w:szCs w:val="18"/>
          <w:lang w:val="en-IN"/>
        </w:rPr>
        <w:t xml:space="preserve"> </w:t>
      </w:r>
      <w:r w:rsidRPr="00574E65">
        <w:rPr>
          <w:rFonts w:ascii="Arial" w:hAnsi="Arial" w:cs="Arial"/>
          <w:i/>
          <w:iCs/>
          <w:sz w:val="18"/>
          <w:szCs w:val="18"/>
          <w:lang w:val="en-IN"/>
        </w:rPr>
        <w:t>Journal of Power Sources</w:t>
      </w:r>
      <w:r w:rsidRPr="00574E65">
        <w:rPr>
          <w:rFonts w:ascii="Arial" w:hAnsi="Arial" w:cs="Arial"/>
          <w:sz w:val="18"/>
          <w:szCs w:val="18"/>
          <w:lang w:val="en-IN"/>
        </w:rPr>
        <w:t xml:space="preserve">, </w:t>
      </w:r>
      <w:r w:rsidRPr="00574E65">
        <w:rPr>
          <w:rFonts w:ascii="Arial" w:hAnsi="Arial" w:cs="Arial"/>
          <w:i/>
          <w:iCs/>
          <w:sz w:val="18"/>
          <w:szCs w:val="18"/>
          <w:lang w:val="en-IN"/>
        </w:rPr>
        <w:t>225</w:t>
      </w:r>
      <w:r w:rsidRPr="00574E65">
        <w:rPr>
          <w:rFonts w:ascii="Arial" w:hAnsi="Arial" w:cs="Arial"/>
          <w:sz w:val="18"/>
          <w:szCs w:val="18"/>
          <w:lang w:val="en-IN"/>
        </w:rPr>
        <w:t xml:space="preserve">, 84-88. </w:t>
      </w:r>
      <w:hyperlink r:id="rId57" w:history="1">
        <w:r w:rsidRPr="00574E65">
          <w:rPr>
            <w:rStyle w:val="Hyperlink"/>
            <w:rFonts w:ascii="Arial" w:hAnsi="Arial" w:cs="Arial"/>
            <w:sz w:val="18"/>
            <w:szCs w:val="18"/>
            <w:lang w:val="en-IN"/>
          </w:rPr>
          <w:t>https://doi.org/10.1016/j.jpowsour.2012.10.019</w:t>
        </w:r>
      </w:hyperlink>
      <w:r w:rsidRPr="00574E65">
        <w:rPr>
          <w:rFonts w:ascii="Arial" w:hAnsi="Arial" w:cs="Arial"/>
          <w:sz w:val="18"/>
          <w:szCs w:val="18"/>
          <w:lang w:val="en-IN"/>
        </w:rPr>
        <w:t xml:space="preserve"> </w:t>
      </w:r>
    </w:p>
    <w:p w14:paraId="5110D05F" w14:textId="7DF1EE46" w:rsidR="004D1630" w:rsidRPr="00574E65" w:rsidRDefault="00AE2A46" w:rsidP="00574E65">
      <w:pPr>
        <w:spacing w:after="120"/>
        <w:jc w:val="both"/>
        <w:rPr>
          <w:rFonts w:ascii="Arial" w:hAnsi="Arial" w:cs="Arial"/>
          <w:sz w:val="18"/>
          <w:szCs w:val="18"/>
        </w:rPr>
      </w:pPr>
      <w:r w:rsidRPr="00574E65">
        <w:rPr>
          <w:rFonts w:ascii="Arial" w:hAnsi="Arial" w:cs="Arial"/>
          <w:sz w:val="18"/>
          <w:szCs w:val="18"/>
          <w:lang w:val="en-IN"/>
        </w:rPr>
        <w:t xml:space="preserve">Xu, W., Xu, J., Huang, D., Wang, C., Song, J., Chen, X., &amp; Suo, H. (2025). Acne vulgaris: advances in pathogenesis and prevention strategies. </w:t>
      </w:r>
      <w:r w:rsidRPr="00574E65">
        <w:rPr>
          <w:rFonts w:ascii="Arial" w:hAnsi="Arial" w:cs="Arial"/>
          <w:i/>
          <w:iCs/>
          <w:sz w:val="18"/>
          <w:szCs w:val="18"/>
          <w:lang w:val="en-IN"/>
        </w:rPr>
        <w:t>European Journal of Clinical Microbiology &amp; Infectious Diseases</w:t>
      </w:r>
      <w:r w:rsidRPr="00574E65">
        <w:rPr>
          <w:rFonts w:ascii="Arial" w:hAnsi="Arial" w:cs="Arial"/>
          <w:sz w:val="18"/>
          <w:szCs w:val="18"/>
          <w:lang w:val="en-IN"/>
        </w:rPr>
        <w:t xml:space="preserve">, </w:t>
      </w:r>
      <w:r w:rsidRPr="00574E65">
        <w:rPr>
          <w:rFonts w:ascii="Arial" w:hAnsi="Arial" w:cs="Arial"/>
          <w:i/>
          <w:iCs/>
          <w:sz w:val="18"/>
          <w:szCs w:val="18"/>
          <w:lang w:val="en-IN"/>
        </w:rPr>
        <w:t>44</w:t>
      </w:r>
      <w:r w:rsidRPr="00574E65">
        <w:rPr>
          <w:rFonts w:ascii="Arial" w:hAnsi="Arial" w:cs="Arial"/>
          <w:sz w:val="18"/>
          <w:szCs w:val="18"/>
          <w:lang w:val="en-IN"/>
        </w:rPr>
        <w:t xml:space="preserve">(3), 515-532. </w:t>
      </w:r>
      <w:hyperlink r:id="rId58" w:history="1">
        <w:r w:rsidRPr="00574E65">
          <w:rPr>
            <w:rStyle w:val="Hyperlink"/>
            <w:rFonts w:ascii="Arial" w:hAnsi="Arial" w:cs="Arial"/>
            <w:sz w:val="18"/>
            <w:szCs w:val="18"/>
          </w:rPr>
          <w:t>https://doi.org/10.1007/s10096-024-04984-8</w:t>
        </w:r>
      </w:hyperlink>
      <w:bookmarkEnd w:id="4"/>
    </w:p>
    <w:sectPr w:rsidR="004D1630" w:rsidRPr="00574E65" w:rsidSect="00E907E4">
      <w:headerReference w:type="even" r:id="rId59"/>
      <w:headerReference w:type="default" r:id="rId60"/>
      <w:footerReference w:type="even" r:id="rId61"/>
      <w:footerReference w:type="default" r:id="rId62"/>
      <w:headerReference w:type="first" r:id="rId63"/>
      <w:footerReference w:type="first" r:id="rId64"/>
      <w:type w:val="continuous"/>
      <w:pgSz w:w="11907" w:h="16839"/>
      <w:pgMar w:top="1440" w:right="1440" w:bottom="1440" w:left="1440" w:header="720" w:footer="720" w:gutter="0"/>
      <w:pgNumType w:start="129"/>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826EA71" w14:textId="77777777" w:rsidR="00202A11" w:rsidRDefault="00202A11" w:rsidP="00AC329A">
      <w:r>
        <w:separator/>
      </w:r>
    </w:p>
  </w:endnote>
  <w:endnote w:type="continuationSeparator" w:id="0">
    <w:p w14:paraId="21A84792" w14:textId="77777777" w:rsidR="00202A11" w:rsidRDefault="00202A11" w:rsidP="00AC329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000247B" w:usb2="00000009" w:usb3="00000000" w:csb0="000001FF" w:csb1="00000000"/>
  </w:font>
  <w:font w:name="Vrinda">
    <w:panose1 w:val="00000400000000000000"/>
    <w:charset w:val="00"/>
    <w:family w:val="swiss"/>
    <w:pitch w:val="variable"/>
    <w:sig w:usb0="0001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imes-Bold">
    <w:panose1 w:val="00000000000000000000"/>
    <w:charset w:val="00"/>
    <w:family w:val="roman"/>
    <w:notTrueType/>
    <w:pitch w:val="default"/>
  </w:font>
  <w:font w:name="Times-Roman">
    <w:panose1 w:val="00000000000000000000"/>
    <w:charset w:val="00"/>
    <w:family w:val="roman"/>
    <w:notTrueType/>
    <w:pitch w:val="default"/>
  </w:font>
  <w:font w:name="Helvetica-Bold">
    <w:panose1 w:val="00000000000000000000"/>
    <w:charset w:val="00"/>
    <w:family w:val="roman"/>
    <w:notTrueType/>
    <w:pitch w:val="default"/>
  </w:font>
  <w:font w:name="Times-Italic">
    <w:panose1 w:val="00000000000000000000"/>
    <w:charset w:val="00"/>
    <w:family w:val="roman"/>
    <w:notTrueType/>
    <w:pitch w:val="default"/>
  </w:font>
  <w:font w:name="Georgia">
    <w:panose1 w:val="02040502050405020303"/>
    <w:charset w:val="00"/>
    <w:family w:val="roman"/>
    <w:pitch w:val="variable"/>
    <w:sig w:usb0="00000287" w:usb1="00000000" w:usb2="00000000" w:usb3="00000000" w:csb0="0000009F" w:csb1="00000000"/>
  </w:font>
  <w:font w:name="Cambria Math">
    <w:panose1 w:val="02040503050406030204"/>
    <w:charset w:val="00"/>
    <w:family w:val="roman"/>
    <w:pitch w:val="variable"/>
    <w:sig w:usb0="E00006FF" w:usb1="420024FF" w:usb2="02000000" w:usb3="00000000" w:csb0="0000019F" w:csb1="00000000"/>
  </w:font>
  <w:font w:name="Palatino">
    <w:altName w:val="Book Antiqua"/>
    <w:panose1 w:val="00000000000000000000"/>
    <w:charset w:val="00"/>
    <w:family w:val="roman"/>
    <w:notTrueType/>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 w:name="DengXian Light">
    <w:charset w:val="86"/>
    <w:family w:val="auto"/>
    <w:pitch w:val="variable"/>
    <w:sig w:usb0="A00002BF" w:usb1="38CF7CFA" w:usb2="00000016" w:usb3="00000000" w:csb0="0004000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69983813"/>
      <w:docPartObj>
        <w:docPartGallery w:val="Page Numbers (Bottom of Page)"/>
        <w:docPartUnique/>
      </w:docPartObj>
    </w:sdtPr>
    <w:sdtContent>
      <w:p w14:paraId="1A3E6A9A" w14:textId="5B39AD0A" w:rsidR="003D0C7F" w:rsidRDefault="003D0C7F" w:rsidP="00EB7729">
        <w:pPr>
          <w:pStyle w:val="Footer"/>
          <w:jc w:val="center"/>
        </w:pPr>
        <w:r w:rsidRPr="007C001F">
          <w:rPr>
            <w:rFonts w:ascii="Arial" w:hAnsi="Arial" w:cs="Arial"/>
            <w:sz w:val="18"/>
          </w:rPr>
          <w:fldChar w:fldCharType="begin"/>
        </w:r>
        <w:r w:rsidRPr="007C001F">
          <w:rPr>
            <w:rFonts w:ascii="Arial" w:hAnsi="Arial" w:cs="Arial"/>
            <w:sz w:val="18"/>
          </w:rPr>
          <w:instrText xml:space="preserve"> PAGE   \* MERGEFORMAT </w:instrText>
        </w:r>
        <w:r w:rsidRPr="007C001F">
          <w:rPr>
            <w:rFonts w:ascii="Arial" w:hAnsi="Arial" w:cs="Arial"/>
            <w:sz w:val="18"/>
          </w:rPr>
          <w:fldChar w:fldCharType="separate"/>
        </w:r>
        <w:r w:rsidR="00DB7872">
          <w:rPr>
            <w:rFonts w:ascii="Arial" w:hAnsi="Arial" w:cs="Arial"/>
            <w:noProof/>
            <w:sz w:val="18"/>
          </w:rPr>
          <w:t>10</w:t>
        </w:r>
        <w:r w:rsidRPr="007C001F">
          <w:rPr>
            <w:rFonts w:ascii="Arial" w:hAnsi="Arial" w:cs="Arial"/>
            <w:sz w:val="18"/>
          </w:rPr>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69983818"/>
      <w:docPartObj>
        <w:docPartGallery w:val="Page Numbers (Bottom of Page)"/>
        <w:docPartUnique/>
      </w:docPartObj>
    </w:sdtPr>
    <w:sdtContent>
      <w:p w14:paraId="0C9E9DC3" w14:textId="77777777" w:rsidR="003D0C7F" w:rsidRDefault="003D0C7F">
        <w:pPr>
          <w:pStyle w:val="Footer"/>
          <w:jc w:val="center"/>
        </w:pPr>
        <w:r w:rsidRPr="007C001F">
          <w:rPr>
            <w:rFonts w:ascii="Arial" w:hAnsi="Arial" w:cs="Arial"/>
            <w:sz w:val="18"/>
          </w:rPr>
          <w:fldChar w:fldCharType="begin"/>
        </w:r>
        <w:r w:rsidRPr="007C001F">
          <w:rPr>
            <w:rFonts w:ascii="Arial" w:hAnsi="Arial" w:cs="Arial"/>
            <w:sz w:val="18"/>
          </w:rPr>
          <w:instrText xml:space="preserve"> PAGE   \* MERGEFORMAT </w:instrText>
        </w:r>
        <w:r w:rsidRPr="007C001F">
          <w:rPr>
            <w:rFonts w:ascii="Arial" w:hAnsi="Arial" w:cs="Arial"/>
            <w:sz w:val="18"/>
          </w:rPr>
          <w:fldChar w:fldCharType="separate"/>
        </w:r>
        <w:r w:rsidR="00DB7872">
          <w:rPr>
            <w:rFonts w:ascii="Arial" w:hAnsi="Arial" w:cs="Arial"/>
            <w:noProof/>
            <w:sz w:val="18"/>
          </w:rPr>
          <w:t>11</w:t>
        </w:r>
        <w:r w:rsidRPr="007C001F">
          <w:rPr>
            <w:rFonts w:ascii="Arial" w:hAnsi="Arial" w:cs="Arial"/>
            <w:sz w:val="18"/>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513099"/>
      <w:docPartObj>
        <w:docPartGallery w:val="Page Numbers (Bottom of Page)"/>
        <w:docPartUnique/>
      </w:docPartObj>
    </w:sdtPr>
    <w:sdtContent>
      <w:sdt>
        <w:sdtPr>
          <w:id w:val="-1870833174"/>
          <w:docPartObj>
            <w:docPartGallery w:val="Page Numbers (Bottom of Page)"/>
            <w:docPartUnique/>
          </w:docPartObj>
        </w:sdtPr>
        <w:sdtEndPr>
          <w:rPr>
            <w:sz w:val="22"/>
          </w:rPr>
        </w:sdtEndPr>
        <w:sdtContent>
          <w:p w14:paraId="591058A2" w14:textId="0F95C91D" w:rsidR="00EB7729" w:rsidRPr="00001F17" w:rsidRDefault="00000000" w:rsidP="00EB7729">
            <w:pPr>
              <w:pStyle w:val="Footer"/>
              <w:jc w:val="right"/>
              <w:rPr>
                <w:rFonts w:ascii="Arial" w:hAnsi="Arial" w:cs="Arial"/>
                <w:i/>
                <w:sz w:val="16"/>
                <w:szCs w:val="16"/>
              </w:rPr>
            </w:pPr>
            <w:sdt>
              <w:sdtPr>
                <w:rPr>
                  <w:rFonts w:ascii="Arial" w:hAnsi="Arial" w:cs="Arial"/>
                  <w:i/>
                  <w:sz w:val="16"/>
                  <w:szCs w:val="16"/>
                </w:rPr>
                <w:id w:val="1523741292"/>
                <w:docPartObj>
                  <w:docPartGallery w:val="Page Numbers (Bottom of Page)"/>
                  <w:docPartUnique/>
                </w:docPartObj>
              </w:sdtPr>
              <w:sdtContent>
                <w:r w:rsidR="00EB7729" w:rsidRPr="00001F17">
                  <w:rPr>
                    <w:rFonts w:ascii="Arial" w:hAnsi="Arial" w:cs="Arial"/>
                    <w:i/>
                    <w:sz w:val="16"/>
                    <w:szCs w:val="16"/>
                  </w:rPr>
                  <w:t>Received on :</w:t>
                </w:r>
                <w:r w:rsidR="00FA3D49">
                  <w:rPr>
                    <w:rFonts w:ascii="Arial" w:hAnsi="Arial" w:cs="Arial"/>
                    <w:i/>
                    <w:sz w:val="16"/>
                    <w:szCs w:val="16"/>
                  </w:rPr>
                  <w:t>13</w:t>
                </w:r>
                <w:r w:rsidR="00FA3D49" w:rsidRPr="00FA3D49">
                  <w:rPr>
                    <w:rFonts w:ascii="Arial" w:hAnsi="Arial" w:cs="Arial"/>
                    <w:i/>
                    <w:sz w:val="16"/>
                    <w:szCs w:val="16"/>
                    <w:vertAlign w:val="superscript"/>
                  </w:rPr>
                  <w:t>th</w:t>
                </w:r>
                <w:r w:rsidR="00FA3D49">
                  <w:rPr>
                    <w:rFonts w:ascii="Arial" w:hAnsi="Arial" w:cs="Arial"/>
                    <w:i/>
                    <w:sz w:val="16"/>
                    <w:szCs w:val="16"/>
                  </w:rPr>
                  <w:t xml:space="preserve"> September </w:t>
                </w:r>
                <w:r w:rsidR="00EB7729" w:rsidRPr="00001F17">
                  <w:rPr>
                    <w:rFonts w:ascii="Arial" w:hAnsi="Arial" w:cs="Arial"/>
                    <w:i/>
                    <w:sz w:val="16"/>
                    <w:szCs w:val="16"/>
                  </w:rPr>
                  <w:t>202</w:t>
                </w:r>
                <w:r w:rsidR="00FA3D49">
                  <w:rPr>
                    <w:rFonts w:ascii="Arial" w:hAnsi="Arial" w:cs="Arial"/>
                    <w:i/>
                    <w:sz w:val="16"/>
                    <w:szCs w:val="16"/>
                  </w:rPr>
                  <w:t>4</w:t>
                </w:r>
                <w:r w:rsidR="00EB7729" w:rsidRPr="00001F17">
                  <w:rPr>
                    <w:rFonts w:ascii="Arial" w:hAnsi="Arial" w:cs="Arial"/>
                    <w:i/>
                    <w:sz w:val="16"/>
                    <w:szCs w:val="16"/>
                  </w:rPr>
                  <w:t>; Revised version received on :</w:t>
                </w:r>
                <w:r w:rsidR="00EB7729">
                  <w:rPr>
                    <w:rFonts w:ascii="Arial" w:hAnsi="Arial" w:cs="Arial"/>
                    <w:i/>
                    <w:sz w:val="16"/>
                    <w:szCs w:val="16"/>
                  </w:rPr>
                  <w:t>2</w:t>
                </w:r>
                <w:r w:rsidR="00FA3D49">
                  <w:rPr>
                    <w:rFonts w:ascii="Arial" w:hAnsi="Arial" w:cs="Arial"/>
                    <w:i/>
                    <w:sz w:val="16"/>
                    <w:szCs w:val="16"/>
                  </w:rPr>
                  <w:t>1</w:t>
                </w:r>
                <w:r w:rsidR="00FA3D49" w:rsidRPr="00FA3D49">
                  <w:rPr>
                    <w:rFonts w:ascii="Arial" w:hAnsi="Arial" w:cs="Arial"/>
                    <w:i/>
                    <w:sz w:val="16"/>
                    <w:szCs w:val="16"/>
                    <w:vertAlign w:val="superscript"/>
                  </w:rPr>
                  <w:t>st</w:t>
                </w:r>
                <w:r w:rsidR="00FA3D49">
                  <w:rPr>
                    <w:rFonts w:ascii="Arial" w:hAnsi="Arial" w:cs="Arial"/>
                    <w:i/>
                    <w:sz w:val="16"/>
                    <w:szCs w:val="16"/>
                  </w:rPr>
                  <w:t xml:space="preserve"> November</w:t>
                </w:r>
                <w:r w:rsidR="00EB7729" w:rsidRPr="00001F17">
                  <w:rPr>
                    <w:rFonts w:ascii="Arial" w:hAnsi="Arial" w:cs="Arial"/>
                    <w:i/>
                    <w:sz w:val="16"/>
                    <w:szCs w:val="16"/>
                  </w:rPr>
                  <w:t xml:space="preserve"> </w:t>
                </w:r>
                <w:r w:rsidR="00126F35" w:rsidRPr="00001F17">
                  <w:rPr>
                    <w:rFonts w:ascii="Arial" w:hAnsi="Arial" w:cs="Arial"/>
                    <w:i/>
                    <w:sz w:val="16"/>
                    <w:szCs w:val="16"/>
                  </w:rPr>
                  <w:t>202</w:t>
                </w:r>
                <w:r w:rsidR="00126F35">
                  <w:rPr>
                    <w:rFonts w:ascii="Arial" w:hAnsi="Arial" w:cs="Arial"/>
                    <w:i/>
                    <w:sz w:val="16"/>
                    <w:szCs w:val="16"/>
                  </w:rPr>
                  <w:t>5</w:t>
                </w:r>
                <w:r w:rsidR="00126F35" w:rsidRPr="00001F17">
                  <w:rPr>
                    <w:rFonts w:ascii="Arial" w:hAnsi="Arial" w:cs="Arial"/>
                    <w:i/>
                    <w:sz w:val="16"/>
                    <w:szCs w:val="16"/>
                  </w:rPr>
                  <w:t>; Accepted</w:t>
                </w:r>
                <w:r w:rsidR="00EB7729" w:rsidRPr="00001F17">
                  <w:rPr>
                    <w:rFonts w:ascii="Arial" w:hAnsi="Arial" w:cs="Arial"/>
                    <w:i/>
                    <w:sz w:val="16"/>
                    <w:szCs w:val="16"/>
                  </w:rPr>
                  <w:t xml:space="preserve">: </w:t>
                </w:r>
                <w:r w:rsidR="00FA3D49">
                  <w:rPr>
                    <w:rFonts w:ascii="Arial" w:hAnsi="Arial" w:cs="Arial"/>
                    <w:i/>
                    <w:sz w:val="16"/>
                    <w:szCs w:val="16"/>
                  </w:rPr>
                  <w:t>28</w:t>
                </w:r>
                <w:r w:rsidR="00FA3D49" w:rsidRPr="00FA3D49">
                  <w:rPr>
                    <w:rFonts w:ascii="Arial" w:hAnsi="Arial" w:cs="Arial"/>
                    <w:i/>
                    <w:sz w:val="16"/>
                    <w:szCs w:val="16"/>
                    <w:vertAlign w:val="superscript"/>
                  </w:rPr>
                  <w:t>th</w:t>
                </w:r>
                <w:r w:rsidR="00FA3D49">
                  <w:rPr>
                    <w:rFonts w:ascii="Arial" w:hAnsi="Arial" w:cs="Arial"/>
                    <w:i/>
                    <w:sz w:val="16"/>
                    <w:szCs w:val="16"/>
                  </w:rPr>
                  <w:t xml:space="preserve"> November</w:t>
                </w:r>
              </w:sdtContent>
            </w:sdt>
            <w:r w:rsidR="00EB7729" w:rsidRPr="00001F17">
              <w:rPr>
                <w:rFonts w:ascii="Arial" w:hAnsi="Arial" w:cs="Arial"/>
                <w:i/>
                <w:sz w:val="16"/>
                <w:szCs w:val="16"/>
              </w:rPr>
              <w:t xml:space="preserve"> 202</w:t>
            </w:r>
            <w:r w:rsidR="00126F35">
              <w:rPr>
                <w:rFonts w:ascii="Arial" w:hAnsi="Arial" w:cs="Arial"/>
                <w:i/>
                <w:sz w:val="16"/>
                <w:szCs w:val="16"/>
              </w:rPr>
              <w:t>5</w:t>
            </w:r>
          </w:p>
          <w:p w14:paraId="1DF6156C" w14:textId="7C02A216" w:rsidR="003D0C7F" w:rsidRPr="00EB7729" w:rsidRDefault="00EB7729" w:rsidP="00EB7729">
            <w:pPr>
              <w:pStyle w:val="Footer"/>
              <w:jc w:val="center"/>
              <w:rPr>
                <w:sz w:val="22"/>
              </w:rPr>
            </w:pPr>
            <w:r w:rsidRPr="00894FA8">
              <w:rPr>
                <w:rFonts w:ascii="Arial" w:hAnsi="Arial" w:cs="Arial"/>
                <w:sz w:val="18"/>
              </w:rPr>
              <w:fldChar w:fldCharType="begin"/>
            </w:r>
            <w:r w:rsidRPr="00894FA8">
              <w:rPr>
                <w:rFonts w:ascii="Arial" w:hAnsi="Arial" w:cs="Arial"/>
                <w:sz w:val="18"/>
              </w:rPr>
              <w:instrText xml:space="preserve"> PAGE   \* MERGEFORMAT </w:instrText>
            </w:r>
            <w:r w:rsidRPr="00894FA8">
              <w:rPr>
                <w:rFonts w:ascii="Arial" w:hAnsi="Arial" w:cs="Arial"/>
                <w:sz w:val="18"/>
              </w:rPr>
              <w:fldChar w:fldCharType="separate"/>
            </w:r>
            <w:r w:rsidR="00DB7872">
              <w:rPr>
                <w:rFonts w:ascii="Arial" w:hAnsi="Arial" w:cs="Arial"/>
                <w:noProof/>
                <w:sz w:val="18"/>
              </w:rPr>
              <w:t>1</w:t>
            </w:r>
            <w:r w:rsidRPr="00894FA8">
              <w:rPr>
                <w:rFonts w:ascii="Arial" w:hAnsi="Arial" w:cs="Arial"/>
                <w:sz w:val="18"/>
              </w:rPr>
              <w:fldChar w:fldCharType="end"/>
            </w:r>
          </w:p>
        </w:sdtContent>
      </w:sdt>
    </w:sdtContent>
  </w:sdt>
  <w:p w14:paraId="04A09E9D" w14:textId="77777777" w:rsidR="003D0C7F" w:rsidRDefault="003D0C7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510771C" w14:textId="77777777" w:rsidR="00202A11" w:rsidRDefault="00202A11" w:rsidP="00AC329A">
      <w:r>
        <w:separator/>
      </w:r>
    </w:p>
  </w:footnote>
  <w:footnote w:type="continuationSeparator" w:id="0">
    <w:p w14:paraId="6F79562B" w14:textId="77777777" w:rsidR="00202A11" w:rsidRDefault="00202A11" w:rsidP="00AC329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B3C327" w14:textId="471E6C90" w:rsidR="00EB7729" w:rsidRPr="006C4CEC" w:rsidRDefault="009817DF" w:rsidP="00EB7729">
    <w:pPr>
      <w:jc w:val="center"/>
      <w:rPr>
        <w:rFonts w:ascii="Arial" w:eastAsia="Arial" w:hAnsi="Arial" w:cs="Arial"/>
        <w:i/>
        <w:sz w:val="20"/>
        <w:szCs w:val="20"/>
      </w:rPr>
    </w:pPr>
    <w:r w:rsidRPr="009817DF">
      <w:rPr>
        <w:rFonts w:ascii="Arial" w:hAnsi="Arial" w:cs="Arial"/>
        <w:i/>
        <w:sz w:val="20"/>
        <w:szCs w:val="20"/>
      </w:rPr>
      <w:t>Shaharuddin</w:t>
    </w:r>
    <w:r>
      <w:rPr>
        <w:rFonts w:ascii="Arial" w:hAnsi="Arial" w:cs="Arial"/>
        <w:i/>
        <w:sz w:val="20"/>
        <w:szCs w:val="20"/>
      </w:rPr>
      <w:t xml:space="preserve"> </w:t>
    </w:r>
    <w:r w:rsidR="00FA5649" w:rsidRPr="00FA5649">
      <w:rPr>
        <w:rFonts w:ascii="Arial" w:hAnsi="Arial" w:cs="Arial"/>
        <w:i/>
        <w:iCs/>
        <w:sz w:val="20"/>
        <w:szCs w:val="20"/>
      </w:rPr>
      <w:t>et al</w:t>
    </w:r>
    <w:r w:rsidR="00EB7729" w:rsidRPr="006C4CEC">
      <w:rPr>
        <w:rFonts w:ascii="Arial" w:hAnsi="Arial" w:cs="Arial"/>
        <w:i/>
        <w:sz w:val="20"/>
        <w:szCs w:val="20"/>
      </w:rPr>
      <w:t>.</w:t>
    </w:r>
  </w:p>
  <w:p w14:paraId="0A5F05E2" w14:textId="7EE1554C" w:rsidR="003D0C7F" w:rsidRDefault="00EB7729" w:rsidP="0001523C">
    <w:pPr>
      <w:tabs>
        <w:tab w:val="right" w:pos="0"/>
      </w:tabs>
      <w:jc w:val="right"/>
    </w:pPr>
    <w:r w:rsidRPr="00EB7729">
      <w:rPr>
        <w:rFonts w:ascii="Arial" w:eastAsia="Arial" w:hAnsi="Arial" w:cs="Arial"/>
        <w:i/>
        <w:color w:val="000000"/>
        <w:sz w:val="20"/>
        <w:szCs w:val="20"/>
      </w:rPr>
      <w:t xml:space="preserve">Int J Adv Life Sci Res. Volume </w:t>
    </w:r>
    <w:r w:rsidR="004D1630">
      <w:rPr>
        <w:rFonts w:ascii="Arial" w:eastAsia="Arial" w:hAnsi="Arial" w:cs="Arial"/>
        <w:i/>
        <w:color w:val="000000"/>
        <w:sz w:val="20"/>
        <w:szCs w:val="20"/>
      </w:rPr>
      <w:t>9</w:t>
    </w:r>
    <w:r w:rsidRPr="00EB7729">
      <w:rPr>
        <w:rFonts w:ascii="Arial" w:eastAsia="Arial" w:hAnsi="Arial" w:cs="Arial"/>
        <w:i/>
        <w:color w:val="000000"/>
        <w:sz w:val="20"/>
        <w:szCs w:val="20"/>
      </w:rPr>
      <w:t>(</w:t>
    </w:r>
    <w:r w:rsidR="004D1630">
      <w:rPr>
        <w:rFonts w:ascii="Arial" w:eastAsia="Arial" w:hAnsi="Arial" w:cs="Arial"/>
        <w:i/>
        <w:color w:val="000000"/>
        <w:sz w:val="20"/>
        <w:szCs w:val="20"/>
      </w:rPr>
      <w:t>1</w:t>
    </w:r>
    <w:r w:rsidRPr="00EB7729">
      <w:rPr>
        <w:rFonts w:ascii="Arial" w:eastAsia="Arial" w:hAnsi="Arial" w:cs="Arial"/>
        <w:i/>
        <w:color w:val="000000"/>
        <w:sz w:val="20"/>
        <w:szCs w:val="20"/>
      </w:rPr>
      <w:t xml:space="preserve">) </w:t>
    </w:r>
    <w:r w:rsidR="008D3480">
      <w:rPr>
        <w:rFonts w:ascii="Arial" w:eastAsia="Arial" w:hAnsi="Arial" w:cs="Arial"/>
        <w:i/>
        <w:color w:val="000000"/>
        <w:sz w:val="20"/>
        <w:szCs w:val="20"/>
      </w:rPr>
      <w:t>1</w:t>
    </w:r>
    <w:r w:rsidR="00E907E4">
      <w:rPr>
        <w:rFonts w:ascii="Arial" w:eastAsia="Arial" w:hAnsi="Arial" w:cs="Arial"/>
        <w:i/>
        <w:color w:val="000000"/>
        <w:sz w:val="20"/>
        <w:szCs w:val="20"/>
      </w:rPr>
      <w:t>29</w:t>
    </w:r>
    <w:r w:rsidRPr="00EB7729">
      <w:rPr>
        <w:rFonts w:ascii="Arial" w:eastAsia="Arial" w:hAnsi="Arial" w:cs="Arial"/>
        <w:i/>
        <w:color w:val="000000"/>
        <w:sz w:val="20"/>
        <w:szCs w:val="20"/>
      </w:rPr>
      <w:t>-</w:t>
    </w:r>
    <w:r w:rsidR="008D3480">
      <w:rPr>
        <w:rFonts w:ascii="Arial" w:eastAsia="Arial" w:hAnsi="Arial" w:cs="Arial"/>
        <w:i/>
        <w:color w:val="000000"/>
        <w:sz w:val="20"/>
        <w:szCs w:val="20"/>
      </w:rPr>
      <w:t>14</w:t>
    </w:r>
    <w:r w:rsidR="00E907E4">
      <w:rPr>
        <w:rFonts w:ascii="Arial" w:eastAsia="Arial" w:hAnsi="Arial" w:cs="Arial"/>
        <w:i/>
        <w:color w:val="000000"/>
        <w:sz w:val="20"/>
        <w:szCs w:val="20"/>
      </w:rPr>
      <w:t>2</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500B69" w14:textId="0CF6D987" w:rsidR="003D0C7F" w:rsidRPr="006C4CEC" w:rsidRDefault="009817DF" w:rsidP="000E2D66">
    <w:pPr>
      <w:jc w:val="center"/>
      <w:rPr>
        <w:rFonts w:ascii="Arial" w:eastAsia="Arial" w:hAnsi="Arial" w:cs="Arial"/>
        <w:i/>
        <w:sz w:val="20"/>
        <w:szCs w:val="20"/>
      </w:rPr>
    </w:pPr>
    <w:r w:rsidRPr="009817DF">
      <w:rPr>
        <w:rFonts w:ascii="Arial" w:hAnsi="Arial" w:cs="Arial"/>
        <w:i/>
        <w:sz w:val="20"/>
        <w:szCs w:val="20"/>
      </w:rPr>
      <w:t xml:space="preserve">Shaharuddin </w:t>
    </w:r>
    <w:r w:rsidR="00FA5649" w:rsidRPr="00FA5649">
      <w:rPr>
        <w:rFonts w:ascii="Arial" w:hAnsi="Arial" w:cs="Arial"/>
        <w:i/>
        <w:iCs/>
        <w:sz w:val="20"/>
        <w:szCs w:val="20"/>
      </w:rPr>
      <w:t>et al</w:t>
    </w:r>
    <w:r w:rsidR="003D0C7F" w:rsidRPr="006C4CEC">
      <w:rPr>
        <w:rFonts w:ascii="Arial" w:hAnsi="Arial" w:cs="Arial"/>
        <w:i/>
        <w:sz w:val="20"/>
        <w:szCs w:val="20"/>
      </w:rPr>
      <w:t>.</w:t>
    </w:r>
  </w:p>
  <w:p w14:paraId="34F71C2E" w14:textId="105E813B" w:rsidR="003D0C7F" w:rsidRDefault="00EB7729" w:rsidP="0001523C">
    <w:pPr>
      <w:tabs>
        <w:tab w:val="right" w:pos="0"/>
      </w:tabs>
    </w:pPr>
    <w:r w:rsidRPr="00EB7729">
      <w:rPr>
        <w:rFonts w:ascii="Arial" w:eastAsia="Arial" w:hAnsi="Arial" w:cs="Arial"/>
        <w:i/>
        <w:color w:val="000000"/>
        <w:sz w:val="20"/>
        <w:szCs w:val="20"/>
      </w:rPr>
      <w:t xml:space="preserve">Int J Adv Life Sci Res. Volume </w:t>
    </w:r>
    <w:r w:rsidR="004D1630">
      <w:rPr>
        <w:rFonts w:ascii="Arial" w:eastAsia="Arial" w:hAnsi="Arial" w:cs="Arial"/>
        <w:i/>
        <w:color w:val="000000"/>
        <w:sz w:val="20"/>
        <w:szCs w:val="20"/>
      </w:rPr>
      <w:t>9</w:t>
    </w:r>
    <w:r w:rsidRPr="00EB7729">
      <w:rPr>
        <w:rFonts w:ascii="Arial" w:eastAsia="Arial" w:hAnsi="Arial" w:cs="Arial"/>
        <w:i/>
        <w:color w:val="000000"/>
        <w:sz w:val="20"/>
        <w:szCs w:val="20"/>
      </w:rPr>
      <w:t>(</w:t>
    </w:r>
    <w:r w:rsidR="004D1630">
      <w:rPr>
        <w:rFonts w:ascii="Arial" w:eastAsia="Arial" w:hAnsi="Arial" w:cs="Arial"/>
        <w:i/>
        <w:color w:val="000000"/>
        <w:sz w:val="20"/>
        <w:szCs w:val="20"/>
      </w:rPr>
      <w:t>1</w:t>
    </w:r>
    <w:r w:rsidRPr="00EB7729">
      <w:rPr>
        <w:rFonts w:ascii="Arial" w:eastAsia="Arial" w:hAnsi="Arial" w:cs="Arial"/>
        <w:i/>
        <w:color w:val="000000"/>
        <w:sz w:val="20"/>
        <w:szCs w:val="20"/>
      </w:rPr>
      <w:t xml:space="preserve">) </w:t>
    </w:r>
    <w:r w:rsidR="008D3480">
      <w:rPr>
        <w:rFonts w:ascii="Arial" w:eastAsia="Arial" w:hAnsi="Arial" w:cs="Arial"/>
        <w:i/>
        <w:color w:val="000000"/>
        <w:sz w:val="20"/>
        <w:szCs w:val="20"/>
      </w:rPr>
      <w:t>1</w:t>
    </w:r>
    <w:r w:rsidR="00E907E4">
      <w:rPr>
        <w:rFonts w:ascii="Arial" w:eastAsia="Arial" w:hAnsi="Arial" w:cs="Arial"/>
        <w:i/>
        <w:color w:val="000000"/>
        <w:sz w:val="20"/>
        <w:szCs w:val="20"/>
      </w:rPr>
      <w:t>29</w:t>
    </w:r>
    <w:r w:rsidRPr="00EB7729">
      <w:rPr>
        <w:rFonts w:ascii="Arial" w:eastAsia="Arial" w:hAnsi="Arial" w:cs="Arial"/>
        <w:i/>
        <w:color w:val="000000"/>
        <w:sz w:val="20"/>
        <w:szCs w:val="20"/>
      </w:rPr>
      <w:t>-</w:t>
    </w:r>
    <w:r w:rsidR="008D3480">
      <w:rPr>
        <w:rFonts w:ascii="Arial" w:eastAsia="Arial" w:hAnsi="Arial" w:cs="Arial"/>
        <w:i/>
        <w:color w:val="000000"/>
        <w:sz w:val="20"/>
        <w:szCs w:val="20"/>
      </w:rPr>
      <w:t>14</w:t>
    </w:r>
    <w:r w:rsidR="00E907E4">
      <w:rPr>
        <w:rFonts w:ascii="Arial" w:eastAsia="Arial" w:hAnsi="Arial" w:cs="Arial"/>
        <w:i/>
        <w:color w:val="000000"/>
        <w:sz w:val="20"/>
        <w:szCs w:val="20"/>
      </w:rPr>
      <w:t>2</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B665BA" w14:textId="08384C59" w:rsidR="00EB7729" w:rsidRDefault="00EB7729" w:rsidP="00EB7729">
    <w:pPr>
      <w:tabs>
        <w:tab w:val="right" w:pos="0"/>
      </w:tabs>
      <w:jc w:val="right"/>
      <w:rPr>
        <w:rFonts w:ascii="Arial" w:eastAsia="Arial" w:hAnsi="Arial" w:cs="Arial"/>
        <w:i/>
        <w:color w:val="000000"/>
        <w:sz w:val="20"/>
        <w:szCs w:val="20"/>
      </w:rPr>
    </w:pPr>
    <w:r w:rsidRPr="00EB7729">
      <w:rPr>
        <w:rFonts w:ascii="Arial" w:eastAsia="Arial" w:hAnsi="Arial" w:cs="Arial"/>
        <w:i/>
        <w:color w:val="000000"/>
        <w:sz w:val="20"/>
        <w:szCs w:val="20"/>
      </w:rPr>
      <w:t xml:space="preserve">Int J Adv Life Sci Res. Volume </w:t>
    </w:r>
    <w:r w:rsidR="004D1630">
      <w:rPr>
        <w:rFonts w:ascii="Arial" w:eastAsia="Arial" w:hAnsi="Arial" w:cs="Arial"/>
        <w:i/>
        <w:color w:val="000000"/>
        <w:sz w:val="20"/>
        <w:szCs w:val="20"/>
      </w:rPr>
      <w:t>9</w:t>
    </w:r>
    <w:r w:rsidRPr="00EB7729">
      <w:rPr>
        <w:rFonts w:ascii="Arial" w:eastAsia="Arial" w:hAnsi="Arial" w:cs="Arial"/>
        <w:i/>
        <w:color w:val="000000"/>
        <w:sz w:val="20"/>
        <w:szCs w:val="20"/>
      </w:rPr>
      <w:t>(</w:t>
    </w:r>
    <w:r w:rsidR="004D1630">
      <w:rPr>
        <w:rFonts w:ascii="Arial" w:eastAsia="Arial" w:hAnsi="Arial" w:cs="Arial"/>
        <w:i/>
        <w:color w:val="000000"/>
        <w:sz w:val="20"/>
        <w:szCs w:val="20"/>
      </w:rPr>
      <w:t>1</w:t>
    </w:r>
    <w:r w:rsidRPr="00EB7729">
      <w:rPr>
        <w:rFonts w:ascii="Arial" w:eastAsia="Arial" w:hAnsi="Arial" w:cs="Arial"/>
        <w:i/>
        <w:color w:val="000000"/>
        <w:sz w:val="20"/>
        <w:szCs w:val="20"/>
      </w:rPr>
      <w:t xml:space="preserve">) </w:t>
    </w:r>
    <w:r w:rsidR="007B734B">
      <w:rPr>
        <w:rFonts w:ascii="Arial" w:eastAsia="Arial" w:hAnsi="Arial" w:cs="Arial"/>
        <w:i/>
        <w:color w:val="000000"/>
        <w:sz w:val="20"/>
        <w:szCs w:val="20"/>
      </w:rPr>
      <w:t>1</w:t>
    </w:r>
    <w:r w:rsidR="00E907E4">
      <w:rPr>
        <w:rFonts w:ascii="Arial" w:eastAsia="Arial" w:hAnsi="Arial" w:cs="Arial"/>
        <w:i/>
        <w:color w:val="000000"/>
        <w:sz w:val="20"/>
        <w:szCs w:val="20"/>
      </w:rPr>
      <w:t>29</w:t>
    </w:r>
    <w:r w:rsidRPr="00EB7729">
      <w:rPr>
        <w:rFonts w:ascii="Arial" w:eastAsia="Arial" w:hAnsi="Arial" w:cs="Arial"/>
        <w:i/>
        <w:color w:val="000000"/>
        <w:sz w:val="20"/>
        <w:szCs w:val="20"/>
      </w:rPr>
      <w:t>-</w:t>
    </w:r>
    <w:r w:rsidR="008D3480">
      <w:rPr>
        <w:rFonts w:ascii="Arial" w:eastAsia="Arial" w:hAnsi="Arial" w:cs="Arial"/>
        <w:i/>
        <w:color w:val="000000"/>
        <w:sz w:val="20"/>
        <w:szCs w:val="20"/>
      </w:rPr>
      <w:t>14</w:t>
    </w:r>
    <w:r w:rsidR="00E907E4">
      <w:rPr>
        <w:rFonts w:ascii="Arial" w:eastAsia="Arial" w:hAnsi="Arial" w:cs="Arial"/>
        <w:i/>
        <w:color w:val="000000"/>
        <w:sz w:val="20"/>
        <w:szCs w:val="20"/>
      </w:rPr>
      <w:t>2</w:t>
    </w:r>
  </w:p>
  <w:p w14:paraId="570AF483" w14:textId="6A2B0218" w:rsidR="00EB7729" w:rsidRDefault="00EB7729" w:rsidP="00EB7729">
    <w:pPr>
      <w:widowControl w:val="0"/>
      <w:autoSpaceDE w:val="0"/>
      <w:autoSpaceDN w:val="0"/>
      <w:adjustRightInd w:val="0"/>
      <w:ind w:right="27"/>
      <w:jc w:val="right"/>
      <w:rPr>
        <w:rFonts w:ascii="Arial" w:hAnsi="Arial" w:cs="Arial"/>
        <w:color w:val="000000"/>
        <w:sz w:val="20"/>
        <w:szCs w:val="20"/>
      </w:rPr>
    </w:pPr>
    <w:r>
      <w:rPr>
        <w:rFonts w:ascii="Arial" w:hAnsi="Arial" w:cs="Arial"/>
        <w:spacing w:val="-2"/>
        <w:sz w:val="20"/>
        <w:szCs w:val="20"/>
      </w:rPr>
      <w:t>h</w:t>
    </w:r>
    <w:r>
      <w:rPr>
        <w:rFonts w:ascii="Arial" w:hAnsi="Arial" w:cs="Arial"/>
        <w:spacing w:val="1"/>
        <w:w w:val="101"/>
        <w:sz w:val="20"/>
        <w:szCs w:val="20"/>
      </w:rPr>
      <w:t>tt</w:t>
    </w:r>
    <w:r>
      <w:rPr>
        <w:rFonts w:ascii="Arial" w:hAnsi="Arial" w:cs="Arial"/>
        <w:spacing w:val="-2"/>
        <w:sz w:val="20"/>
        <w:szCs w:val="20"/>
      </w:rPr>
      <w:t>p</w:t>
    </w:r>
    <w:r>
      <w:rPr>
        <w:rFonts w:ascii="Arial" w:hAnsi="Arial" w:cs="Arial"/>
        <w:sz w:val="20"/>
        <w:szCs w:val="20"/>
      </w:rPr>
      <w:t>s</w:t>
    </w:r>
    <w:r>
      <w:rPr>
        <w:rFonts w:ascii="Arial" w:hAnsi="Arial" w:cs="Arial"/>
        <w:spacing w:val="-3"/>
        <w:sz w:val="20"/>
        <w:szCs w:val="20"/>
      </w:rPr>
      <w:t>:</w:t>
    </w:r>
    <w:r>
      <w:rPr>
        <w:rFonts w:ascii="Arial" w:hAnsi="Arial" w:cs="Arial"/>
        <w:spacing w:val="1"/>
        <w:w w:val="101"/>
        <w:sz w:val="20"/>
        <w:szCs w:val="20"/>
      </w:rPr>
      <w:t>//</w:t>
    </w:r>
    <w:r>
      <w:rPr>
        <w:rFonts w:ascii="Arial" w:hAnsi="Arial" w:cs="Arial"/>
        <w:spacing w:val="-2"/>
        <w:sz w:val="20"/>
        <w:szCs w:val="20"/>
      </w:rPr>
      <w:t>doi</w:t>
    </w:r>
    <w:r>
      <w:rPr>
        <w:rFonts w:ascii="Arial" w:hAnsi="Arial" w:cs="Arial"/>
        <w:spacing w:val="1"/>
        <w:w w:val="101"/>
        <w:sz w:val="20"/>
        <w:szCs w:val="20"/>
      </w:rPr>
      <w:t>.</w:t>
    </w:r>
    <w:r>
      <w:rPr>
        <w:rFonts w:ascii="Arial" w:hAnsi="Arial" w:cs="Arial"/>
        <w:spacing w:val="-2"/>
        <w:sz w:val="20"/>
        <w:szCs w:val="20"/>
      </w:rPr>
      <w:t>o</w:t>
    </w:r>
    <w:r>
      <w:rPr>
        <w:rFonts w:ascii="Arial" w:hAnsi="Arial" w:cs="Arial"/>
        <w:sz w:val="20"/>
        <w:szCs w:val="20"/>
      </w:rPr>
      <w:t>r</w:t>
    </w:r>
    <w:r>
      <w:rPr>
        <w:rFonts w:ascii="Arial" w:hAnsi="Arial" w:cs="Arial"/>
        <w:spacing w:val="-2"/>
        <w:sz w:val="20"/>
        <w:szCs w:val="20"/>
      </w:rPr>
      <w:t>g</w:t>
    </w:r>
    <w:r>
      <w:rPr>
        <w:rFonts w:ascii="Arial" w:hAnsi="Arial" w:cs="Arial"/>
        <w:spacing w:val="3"/>
        <w:w w:val="101"/>
        <w:sz w:val="20"/>
        <w:szCs w:val="20"/>
      </w:rPr>
      <w:t>/</w:t>
    </w:r>
    <w:r>
      <w:rPr>
        <w:rFonts w:ascii="Arial" w:hAnsi="Arial" w:cs="Arial"/>
        <w:color w:val="212121"/>
        <w:spacing w:val="-2"/>
        <w:sz w:val="20"/>
        <w:szCs w:val="20"/>
      </w:rPr>
      <w:t>10</w:t>
    </w:r>
    <w:r>
      <w:rPr>
        <w:rFonts w:ascii="Arial" w:hAnsi="Arial" w:cs="Arial"/>
        <w:color w:val="212121"/>
        <w:spacing w:val="1"/>
        <w:w w:val="101"/>
        <w:sz w:val="20"/>
        <w:szCs w:val="20"/>
      </w:rPr>
      <w:t>.</w:t>
    </w:r>
    <w:r>
      <w:rPr>
        <w:rFonts w:ascii="Arial" w:hAnsi="Arial" w:cs="Arial"/>
        <w:color w:val="212121"/>
        <w:spacing w:val="-2"/>
        <w:sz w:val="20"/>
        <w:szCs w:val="20"/>
      </w:rPr>
      <w:t>31632</w:t>
    </w:r>
    <w:r>
      <w:rPr>
        <w:rFonts w:ascii="Arial" w:hAnsi="Arial" w:cs="Arial"/>
        <w:color w:val="212121"/>
        <w:spacing w:val="1"/>
        <w:w w:val="101"/>
        <w:sz w:val="20"/>
        <w:szCs w:val="20"/>
      </w:rPr>
      <w:t>/</w:t>
    </w:r>
    <w:r>
      <w:rPr>
        <w:rFonts w:ascii="Arial" w:hAnsi="Arial" w:cs="Arial"/>
        <w:color w:val="212121"/>
        <w:spacing w:val="-2"/>
        <w:sz w:val="20"/>
        <w:szCs w:val="20"/>
      </w:rPr>
      <w:t>i</w:t>
    </w:r>
    <w:r>
      <w:rPr>
        <w:rFonts w:ascii="Arial" w:hAnsi="Arial" w:cs="Arial"/>
        <w:color w:val="212121"/>
        <w:spacing w:val="3"/>
        <w:sz w:val="20"/>
        <w:szCs w:val="20"/>
      </w:rPr>
      <w:t>j</w:t>
    </w:r>
    <w:r>
      <w:rPr>
        <w:rFonts w:ascii="Arial" w:hAnsi="Arial" w:cs="Arial"/>
        <w:color w:val="212121"/>
        <w:spacing w:val="-2"/>
        <w:sz w:val="20"/>
        <w:szCs w:val="20"/>
      </w:rPr>
      <w:t>al</w:t>
    </w:r>
    <w:r>
      <w:rPr>
        <w:rFonts w:ascii="Arial" w:hAnsi="Arial" w:cs="Arial"/>
        <w:color w:val="212121"/>
        <w:sz w:val="20"/>
        <w:szCs w:val="20"/>
      </w:rPr>
      <w:t>sr</w:t>
    </w:r>
    <w:r>
      <w:rPr>
        <w:rFonts w:ascii="Arial" w:hAnsi="Arial" w:cs="Arial"/>
        <w:color w:val="212121"/>
        <w:spacing w:val="1"/>
        <w:sz w:val="20"/>
        <w:szCs w:val="20"/>
      </w:rPr>
      <w:t>.</w:t>
    </w:r>
    <w:r>
      <w:rPr>
        <w:rFonts w:ascii="Arial" w:hAnsi="Arial" w:cs="Arial"/>
        <w:color w:val="212121"/>
        <w:spacing w:val="-2"/>
        <w:sz w:val="20"/>
        <w:szCs w:val="20"/>
      </w:rPr>
      <w:t>20</w:t>
    </w:r>
    <w:r>
      <w:rPr>
        <w:rFonts w:ascii="Arial" w:hAnsi="Arial" w:cs="Arial"/>
        <w:color w:val="212121"/>
        <w:spacing w:val="-1"/>
        <w:sz w:val="20"/>
        <w:szCs w:val="20"/>
      </w:rPr>
      <w:t>2</w:t>
    </w:r>
    <w:r w:rsidR="004D1630">
      <w:rPr>
        <w:rFonts w:ascii="Arial" w:hAnsi="Arial" w:cs="Arial"/>
        <w:color w:val="212121"/>
        <w:spacing w:val="-2"/>
        <w:sz w:val="20"/>
        <w:szCs w:val="20"/>
      </w:rPr>
      <w:t>6</w:t>
    </w:r>
    <w:r>
      <w:rPr>
        <w:rFonts w:ascii="Arial" w:hAnsi="Arial" w:cs="Arial"/>
        <w:color w:val="212121"/>
        <w:spacing w:val="1"/>
        <w:w w:val="101"/>
        <w:sz w:val="20"/>
        <w:szCs w:val="20"/>
      </w:rPr>
      <w:t>.</w:t>
    </w:r>
    <w:r>
      <w:rPr>
        <w:rFonts w:ascii="Arial" w:hAnsi="Arial" w:cs="Arial"/>
        <w:color w:val="212121"/>
        <w:sz w:val="20"/>
        <w:szCs w:val="20"/>
      </w:rPr>
      <w:t>v</w:t>
    </w:r>
    <w:r>
      <w:rPr>
        <w:rFonts w:ascii="Arial" w:hAnsi="Arial" w:cs="Arial"/>
        <w:color w:val="212121"/>
        <w:spacing w:val="-2"/>
        <w:sz w:val="20"/>
        <w:szCs w:val="20"/>
      </w:rPr>
      <w:t>0</w:t>
    </w:r>
    <w:r w:rsidR="004D1630">
      <w:rPr>
        <w:rFonts w:ascii="Arial" w:hAnsi="Arial" w:cs="Arial"/>
        <w:color w:val="212121"/>
        <w:spacing w:val="-1"/>
        <w:sz w:val="20"/>
        <w:szCs w:val="20"/>
      </w:rPr>
      <w:t>9</w:t>
    </w:r>
    <w:r>
      <w:rPr>
        <w:rFonts w:ascii="Arial" w:hAnsi="Arial" w:cs="Arial"/>
        <w:color w:val="212121"/>
        <w:spacing w:val="-2"/>
        <w:sz w:val="20"/>
        <w:szCs w:val="20"/>
      </w:rPr>
      <w:t>i0</w:t>
    </w:r>
    <w:r w:rsidR="004D1630">
      <w:rPr>
        <w:rFonts w:ascii="Arial" w:hAnsi="Arial" w:cs="Arial"/>
        <w:color w:val="212121"/>
        <w:spacing w:val="-2"/>
        <w:sz w:val="20"/>
        <w:szCs w:val="20"/>
      </w:rPr>
      <w:t>1</w:t>
    </w:r>
    <w:r>
      <w:rPr>
        <w:rFonts w:ascii="Arial" w:hAnsi="Arial" w:cs="Arial"/>
        <w:color w:val="212121"/>
        <w:spacing w:val="1"/>
        <w:w w:val="101"/>
        <w:sz w:val="20"/>
        <w:szCs w:val="20"/>
      </w:rPr>
      <w:t>.</w:t>
    </w:r>
    <w:r>
      <w:rPr>
        <w:rFonts w:ascii="Arial" w:hAnsi="Arial" w:cs="Arial"/>
        <w:color w:val="212121"/>
        <w:spacing w:val="-2"/>
        <w:sz w:val="20"/>
        <w:szCs w:val="20"/>
      </w:rPr>
      <w:t>0</w:t>
    </w:r>
    <w:r w:rsidR="007B734B">
      <w:rPr>
        <w:rFonts w:ascii="Arial" w:hAnsi="Arial" w:cs="Arial"/>
        <w:color w:val="212121"/>
        <w:spacing w:val="-2"/>
        <w:sz w:val="20"/>
        <w:szCs w:val="20"/>
      </w:rPr>
      <w:t>10</w:t>
    </w:r>
  </w:p>
  <w:p w14:paraId="64B9B518" w14:textId="7BED3B5A" w:rsidR="003D0C7F" w:rsidRPr="000E2D66" w:rsidRDefault="003D0C7F" w:rsidP="00EB7729">
    <w:pPr>
      <w:tabs>
        <w:tab w:val="right" w:pos="0"/>
      </w:tabs>
      <w:jc w:val="right"/>
      <w:rPr>
        <w:rFonts w:ascii="Arial" w:eastAsia="Arial" w:hAnsi="Arial" w:cs="Arial"/>
        <w:sz w:val="20"/>
        <w:szCs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B92A78"/>
    <w:multiLevelType w:val="hybridMultilevel"/>
    <w:tmpl w:val="28F6E002"/>
    <w:lvl w:ilvl="0" w:tplc="68C00C38">
      <w:start w:val="1"/>
      <w:numFmt w:val="decimal"/>
      <w:lvlText w:val="[%1]"/>
      <w:lvlJc w:val="left"/>
      <w:pPr>
        <w:ind w:left="500" w:hanging="360"/>
      </w:pPr>
      <w:rPr>
        <w:rFonts w:ascii="Times New Roman" w:eastAsia="Times New Roman" w:hAnsi="Times New Roman" w:cs="Times New Roman" w:hint="default"/>
        <w:spacing w:val="-2"/>
        <w:w w:val="100"/>
        <w:sz w:val="16"/>
        <w:szCs w:val="16"/>
        <w:lang w:val="en-US" w:eastAsia="en-US" w:bidi="en-US"/>
      </w:rPr>
    </w:lvl>
    <w:lvl w:ilvl="1" w:tplc="92A89A3E">
      <w:numFmt w:val="bullet"/>
      <w:lvlText w:val="•"/>
      <w:lvlJc w:val="left"/>
      <w:pPr>
        <w:ind w:left="1384" w:hanging="360"/>
      </w:pPr>
      <w:rPr>
        <w:rFonts w:hint="default"/>
        <w:lang w:val="en-US" w:eastAsia="en-US" w:bidi="en-US"/>
      </w:rPr>
    </w:lvl>
    <w:lvl w:ilvl="2" w:tplc="C79EAF4A">
      <w:numFmt w:val="bullet"/>
      <w:lvlText w:val="•"/>
      <w:lvlJc w:val="left"/>
      <w:pPr>
        <w:ind w:left="2269" w:hanging="360"/>
      </w:pPr>
      <w:rPr>
        <w:rFonts w:hint="default"/>
        <w:lang w:val="en-US" w:eastAsia="en-US" w:bidi="en-US"/>
      </w:rPr>
    </w:lvl>
    <w:lvl w:ilvl="3" w:tplc="5BB21226">
      <w:numFmt w:val="bullet"/>
      <w:lvlText w:val="•"/>
      <w:lvlJc w:val="left"/>
      <w:pPr>
        <w:ind w:left="3153" w:hanging="360"/>
      </w:pPr>
      <w:rPr>
        <w:rFonts w:hint="default"/>
        <w:lang w:val="en-US" w:eastAsia="en-US" w:bidi="en-US"/>
      </w:rPr>
    </w:lvl>
    <w:lvl w:ilvl="4" w:tplc="9826632E">
      <w:numFmt w:val="bullet"/>
      <w:lvlText w:val="•"/>
      <w:lvlJc w:val="left"/>
      <w:pPr>
        <w:ind w:left="4038" w:hanging="360"/>
      </w:pPr>
      <w:rPr>
        <w:rFonts w:hint="default"/>
        <w:lang w:val="en-US" w:eastAsia="en-US" w:bidi="en-US"/>
      </w:rPr>
    </w:lvl>
    <w:lvl w:ilvl="5" w:tplc="53345F50">
      <w:numFmt w:val="bullet"/>
      <w:lvlText w:val="•"/>
      <w:lvlJc w:val="left"/>
      <w:pPr>
        <w:ind w:left="4923" w:hanging="360"/>
      </w:pPr>
      <w:rPr>
        <w:rFonts w:hint="default"/>
        <w:lang w:val="en-US" w:eastAsia="en-US" w:bidi="en-US"/>
      </w:rPr>
    </w:lvl>
    <w:lvl w:ilvl="6" w:tplc="05C26080">
      <w:numFmt w:val="bullet"/>
      <w:lvlText w:val="•"/>
      <w:lvlJc w:val="left"/>
      <w:pPr>
        <w:ind w:left="5807" w:hanging="360"/>
      </w:pPr>
      <w:rPr>
        <w:rFonts w:hint="default"/>
        <w:lang w:val="en-US" w:eastAsia="en-US" w:bidi="en-US"/>
      </w:rPr>
    </w:lvl>
    <w:lvl w:ilvl="7" w:tplc="70E0A9D4">
      <w:numFmt w:val="bullet"/>
      <w:lvlText w:val="•"/>
      <w:lvlJc w:val="left"/>
      <w:pPr>
        <w:ind w:left="6692" w:hanging="360"/>
      </w:pPr>
      <w:rPr>
        <w:rFonts w:hint="default"/>
        <w:lang w:val="en-US" w:eastAsia="en-US" w:bidi="en-US"/>
      </w:rPr>
    </w:lvl>
    <w:lvl w:ilvl="8" w:tplc="B4D87874">
      <w:numFmt w:val="bullet"/>
      <w:lvlText w:val="•"/>
      <w:lvlJc w:val="left"/>
      <w:pPr>
        <w:ind w:left="7577" w:hanging="360"/>
      </w:pPr>
      <w:rPr>
        <w:rFonts w:hint="default"/>
        <w:lang w:val="en-US" w:eastAsia="en-US" w:bidi="en-US"/>
      </w:rPr>
    </w:lvl>
  </w:abstractNum>
  <w:abstractNum w:abstractNumId="1" w15:restartNumberingAfterBreak="0">
    <w:nsid w:val="043631D3"/>
    <w:multiLevelType w:val="hybridMultilevel"/>
    <w:tmpl w:val="4FE68ACE"/>
    <w:lvl w:ilvl="0" w:tplc="4409000F">
      <w:start w:val="1"/>
      <w:numFmt w:val="decimal"/>
      <w:lvlText w:val="%1."/>
      <w:lvlJc w:val="left"/>
      <w:pPr>
        <w:ind w:left="720" w:hanging="360"/>
      </w:pPr>
    </w:lvl>
    <w:lvl w:ilvl="1" w:tplc="44090019" w:tentative="1">
      <w:start w:val="1"/>
      <w:numFmt w:val="lowerLetter"/>
      <w:lvlText w:val="%2."/>
      <w:lvlJc w:val="left"/>
      <w:pPr>
        <w:ind w:left="1440" w:hanging="360"/>
      </w:pPr>
    </w:lvl>
    <w:lvl w:ilvl="2" w:tplc="4409001B" w:tentative="1">
      <w:start w:val="1"/>
      <w:numFmt w:val="lowerRoman"/>
      <w:lvlText w:val="%3."/>
      <w:lvlJc w:val="right"/>
      <w:pPr>
        <w:ind w:left="2160" w:hanging="180"/>
      </w:pPr>
    </w:lvl>
    <w:lvl w:ilvl="3" w:tplc="4409000F" w:tentative="1">
      <w:start w:val="1"/>
      <w:numFmt w:val="decimal"/>
      <w:lvlText w:val="%4."/>
      <w:lvlJc w:val="left"/>
      <w:pPr>
        <w:ind w:left="2880" w:hanging="360"/>
      </w:pPr>
    </w:lvl>
    <w:lvl w:ilvl="4" w:tplc="44090019" w:tentative="1">
      <w:start w:val="1"/>
      <w:numFmt w:val="lowerLetter"/>
      <w:lvlText w:val="%5."/>
      <w:lvlJc w:val="left"/>
      <w:pPr>
        <w:ind w:left="3600" w:hanging="360"/>
      </w:pPr>
    </w:lvl>
    <w:lvl w:ilvl="5" w:tplc="4409001B" w:tentative="1">
      <w:start w:val="1"/>
      <w:numFmt w:val="lowerRoman"/>
      <w:lvlText w:val="%6."/>
      <w:lvlJc w:val="right"/>
      <w:pPr>
        <w:ind w:left="4320" w:hanging="180"/>
      </w:pPr>
    </w:lvl>
    <w:lvl w:ilvl="6" w:tplc="4409000F" w:tentative="1">
      <w:start w:val="1"/>
      <w:numFmt w:val="decimal"/>
      <w:lvlText w:val="%7."/>
      <w:lvlJc w:val="left"/>
      <w:pPr>
        <w:ind w:left="5040" w:hanging="360"/>
      </w:pPr>
    </w:lvl>
    <w:lvl w:ilvl="7" w:tplc="44090019" w:tentative="1">
      <w:start w:val="1"/>
      <w:numFmt w:val="lowerLetter"/>
      <w:lvlText w:val="%8."/>
      <w:lvlJc w:val="left"/>
      <w:pPr>
        <w:ind w:left="5760" w:hanging="360"/>
      </w:pPr>
    </w:lvl>
    <w:lvl w:ilvl="8" w:tplc="4409001B" w:tentative="1">
      <w:start w:val="1"/>
      <w:numFmt w:val="lowerRoman"/>
      <w:lvlText w:val="%9."/>
      <w:lvlJc w:val="right"/>
      <w:pPr>
        <w:ind w:left="6480" w:hanging="180"/>
      </w:pPr>
    </w:lvl>
  </w:abstractNum>
  <w:abstractNum w:abstractNumId="2" w15:restartNumberingAfterBreak="0">
    <w:nsid w:val="051B0728"/>
    <w:multiLevelType w:val="hybridMultilevel"/>
    <w:tmpl w:val="4F528D5A"/>
    <w:lvl w:ilvl="0" w:tplc="70F02A26">
      <w:start w:val="1"/>
      <w:numFmt w:val="lowerLetter"/>
      <w:lvlText w:val="%1)"/>
      <w:lvlJc w:val="left"/>
      <w:pPr>
        <w:ind w:left="1080" w:hanging="360"/>
      </w:pPr>
      <w:rPr>
        <w:rFonts w:hint="default"/>
      </w:r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3" w15:restartNumberingAfterBreak="0">
    <w:nsid w:val="08E31220"/>
    <w:multiLevelType w:val="hybridMultilevel"/>
    <w:tmpl w:val="8ECA4E84"/>
    <w:lvl w:ilvl="0" w:tplc="9A32DB32">
      <w:start w:val="5"/>
      <w:numFmt w:val="upperLetter"/>
      <w:lvlText w:val="%1."/>
      <w:lvlJc w:val="left"/>
      <w:pPr>
        <w:ind w:left="1440" w:hanging="360"/>
      </w:pPr>
      <w:rPr>
        <w:rFonts w:hint="default"/>
      </w:rPr>
    </w:lvl>
    <w:lvl w:ilvl="1" w:tplc="04210019" w:tentative="1">
      <w:start w:val="1"/>
      <w:numFmt w:val="lowerLetter"/>
      <w:lvlText w:val="%2."/>
      <w:lvlJc w:val="left"/>
      <w:pPr>
        <w:ind w:left="2160" w:hanging="360"/>
      </w:pPr>
    </w:lvl>
    <w:lvl w:ilvl="2" w:tplc="0421001B" w:tentative="1">
      <w:start w:val="1"/>
      <w:numFmt w:val="lowerRoman"/>
      <w:lvlText w:val="%3."/>
      <w:lvlJc w:val="right"/>
      <w:pPr>
        <w:ind w:left="2880" w:hanging="180"/>
      </w:pPr>
    </w:lvl>
    <w:lvl w:ilvl="3" w:tplc="0421000F" w:tentative="1">
      <w:start w:val="1"/>
      <w:numFmt w:val="decimal"/>
      <w:lvlText w:val="%4."/>
      <w:lvlJc w:val="left"/>
      <w:pPr>
        <w:ind w:left="3600" w:hanging="360"/>
      </w:pPr>
    </w:lvl>
    <w:lvl w:ilvl="4" w:tplc="04210019" w:tentative="1">
      <w:start w:val="1"/>
      <w:numFmt w:val="lowerLetter"/>
      <w:lvlText w:val="%5."/>
      <w:lvlJc w:val="left"/>
      <w:pPr>
        <w:ind w:left="4320" w:hanging="360"/>
      </w:pPr>
    </w:lvl>
    <w:lvl w:ilvl="5" w:tplc="0421001B" w:tentative="1">
      <w:start w:val="1"/>
      <w:numFmt w:val="lowerRoman"/>
      <w:lvlText w:val="%6."/>
      <w:lvlJc w:val="right"/>
      <w:pPr>
        <w:ind w:left="5040" w:hanging="180"/>
      </w:pPr>
    </w:lvl>
    <w:lvl w:ilvl="6" w:tplc="0421000F" w:tentative="1">
      <w:start w:val="1"/>
      <w:numFmt w:val="decimal"/>
      <w:lvlText w:val="%7."/>
      <w:lvlJc w:val="left"/>
      <w:pPr>
        <w:ind w:left="5760" w:hanging="360"/>
      </w:pPr>
    </w:lvl>
    <w:lvl w:ilvl="7" w:tplc="04210019" w:tentative="1">
      <w:start w:val="1"/>
      <w:numFmt w:val="lowerLetter"/>
      <w:lvlText w:val="%8."/>
      <w:lvlJc w:val="left"/>
      <w:pPr>
        <w:ind w:left="6480" w:hanging="360"/>
      </w:pPr>
    </w:lvl>
    <w:lvl w:ilvl="8" w:tplc="0421001B" w:tentative="1">
      <w:start w:val="1"/>
      <w:numFmt w:val="lowerRoman"/>
      <w:lvlText w:val="%9."/>
      <w:lvlJc w:val="right"/>
      <w:pPr>
        <w:ind w:left="7200" w:hanging="180"/>
      </w:pPr>
    </w:lvl>
  </w:abstractNum>
  <w:abstractNum w:abstractNumId="4" w15:restartNumberingAfterBreak="0">
    <w:nsid w:val="0B1F4BD8"/>
    <w:multiLevelType w:val="hybridMultilevel"/>
    <w:tmpl w:val="A2121A3C"/>
    <w:lvl w:ilvl="0" w:tplc="44090001">
      <w:start w:val="1"/>
      <w:numFmt w:val="bullet"/>
      <w:lvlText w:val=""/>
      <w:lvlJc w:val="left"/>
      <w:pPr>
        <w:ind w:left="720" w:hanging="360"/>
      </w:pPr>
      <w:rPr>
        <w:rFonts w:ascii="Symbol" w:hAnsi="Symbol" w:hint="default"/>
      </w:rPr>
    </w:lvl>
    <w:lvl w:ilvl="1" w:tplc="44090003" w:tentative="1">
      <w:start w:val="1"/>
      <w:numFmt w:val="bullet"/>
      <w:lvlText w:val="o"/>
      <w:lvlJc w:val="left"/>
      <w:pPr>
        <w:ind w:left="1440" w:hanging="360"/>
      </w:pPr>
      <w:rPr>
        <w:rFonts w:ascii="Courier New" w:hAnsi="Courier New" w:cs="Courier New" w:hint="default"/>
      </w:rPr>
    </w:lvl>
    <w:lvl w:ilvl="2" w:tplc="44090005" w:tentative="1">
      <w:start w:val="1"/>
      <w:numFmt w:val="bullet"/>
      <w:lvlText w:val=""/>
      <w:lvlJc w:val="left"/>
      <w:pPr>
        <w:ind w:left="2160" w:hanging="360"/>
      </w:pPr>
      <w:rPr>
        <w:rFonts w:ascii="Wingdings" w:hAnsi="Wingdings" w:hint="default"/>
      </w:rPr>
    </w:lvl>
    <w:lvl w:ilvl="3" w:tplc="44090001" w:tentative="1">
      <w:start w:val="1"/>
      <w:numFmt w:val="bullet"/>
      <w:lvlText w:val=""/>
      <w:lvlJc w:val="left"/>
      <w:pPr>
        <w:ind w:left="2880" w:hanging="360"/>
      </w:pPr>
      <w:rPr>
        <w:rFonts w:ascii="Symbol" w:hAnsi="Symbol" w:hint="default"/>
      </w:rPr>
    </w:lvl>
    <w:lvl w:ilvl="4" w:tplc="44090003" w:tentative="1">
      <w:start w:val="1"/>
      <w:numFmt w:val="bullet"/>
      <w:lvlText w:val="o"/>
      <w:lvlJc w:val="left"/>
      <w:pPr>
        <w:ind w:left="3600" w:hanging="360"/>
      </w:pPr>
      <w:rPr>
        <w:rFonts w:ascii="Courier New" w:hAnsi="Courier New" w:cs="Courier New" w:hint="default"/>
      </w:rPr>
    </w:lvl>
    <w:lvl w:ilvl="5" w:tplc="44090005" w:tentative="1">
      <w:start w:val="1"/>
      <w:numFmt w:val="bullet"/>
      <w:lvlText w:val=""/>
      <w:lvlJc w:val="left"/>
      <w:pPr>
        <w:ind w:left="4320" w:hanging="360"/>
      </w:pPr>
      <w:rPr>
        <w:rFonts w:ascii="Wingdings" w:hAnsi="Wingdings" w:hint="default"/>
      </w:rPr>
    </w:lvl>
    <w:lvl w:ilvl="6" w:tplc="44090001" w:tentative="1">
      <w:start w:val="1"/>
      <w:numFmt w:val="bullet"/>
      <w:lvlText w:val=""/>
      <w:lvlJc w:val="left"/>
      <w:pPr>
        <w:ind w:left="5040" w:hanging="360"/>
      </w:pPr>
      <w:rPr>
        <w:rFonts w:ascii="Symbol" w:hAnsi="Symbol" w:hint="default"/>
      </w:rPr>
    </w:lvl>
    <w:lvl w:ilvl="7" w:tplc="44090003" w:tentative="1">
      <w:start w:val="1"/>
      <w:numFmt w:val="bullet"/>
      <w:lvlText w:val="o"/>
      <w:lvlJc w:val="left"/>
      <w:pPr>
        <w:ind w:left="5760" w:hanging="360"/>
      </w:pPr>
      <w:rPr>
        <w:rFonts w:ascii="Courier New" w:hAnsi="Courier New" w:cs="Courier New" w:hint="default"/>
      </w:rPr>
    </w:lvl>
    <w:lvl w:ilvl="8" w:tplc="44090005" w:tentative="1">
      <w:start w:val="1"/>
      <w:numFmt w:val="bullet"/>
      <w:lvlText w:val=""/>
      <w:lvlJc w:val="left"/>
      <w:pPr>
        <w:ind w:left="6480" w:hanging="360"/>
      </w:pPr>
      <w:rPr>
        <w:rFonts w:ascii="Wingdings" w:hAnsi="Wingdings" w:hint="default"/>
      </w:rPr>
    </w:lvl>
  </w:abstractNum>
  <w:abstractNum w:abstractNumId="5" w15:restartNumberingAfterBreak="0">
    <w:nsid w:val="0B8818A9"/>
    <w:multiLevelType w:val="hybridMultilevel"/>
    <w:tmpl w:val="BA4EBEF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0EE935CE"/>
    <w:multiLevelType w:val="hybridMultilevel"/>
    <w:tmpl w:val="FF0AC5C4"/>
    <w:lvl w:ilvl="0" w:tplc="946214D0">
      <w:start w:val="1"/>
      <w:numFmt w:val="upperLetter"/>
      <w:lvlText w:val="%1)"/>
      <w:lvlJc w:val="left"/>
      <w:pPr>
        <w:ind w:left="500" w:hanging="360"/>
      </w:pPr>
      <w:rPr>
        <w:rFonts w:hint="default"/>
        <w:b/>
        <w:bCs w:val="0"/>
        <w:spacing w:val="0"/>
        <w:w w:val="99"/>
        <w:sz w:val="20"/>
        <w:szCs w:val="20"/>
        <w:lang w:val="en-US" w:eastAsia="en-US" w:bidi="en-US"/>
      </w:rPr>
    </w:lvl>
    <w:lvl w:ilvl="1" w:tplc="72941BF8">
      <w:numFmt w:val="bullet"/>
      <w:lvlText w:val="•"/>
      <w:lvlJc w:val="left"/>
      <w:pPr>
        <w:ind w:left="1384" w:hanging="360"/>
      </w:pPr>
      <w:rPr>
        <w:rFonts w:hint="default"/>
        <w:lang w:val="en-US" w:eastAsia="en-US" w:bidi="en-US"/>
      </w:rPr>
    </w:lvl>
    <w:lvl w:ilvl="2" w:tplc="6394B3CC">
      <w:numFmt w:val="bullet"/>
      <w:lvlText w:val="•"/>
      <w:lvlJc w:val="left"/>
      <w:pPr>
        <w:ind w:left="2269" w:hanging="360"/>
      </w:pPr>
      <w:rPr>
        <w:rFonts w:hint="default"/>
        <w:lang w:val="en-US" w:eastAsia="en-US" w:bidi="en-US"/>
      </w:rPr>
    </w:lvl>
    <w:lvl w:ilvl="3" w:tplc="173A5470">
      <w:numFmt w:val="bullet"/>
      <w:lvlText w:val="•"/>
      <w:lvlJc w:val="left"/>
      <w:pPr>
        <w:ind w:left="3153" w:hanging="360"/>
      </w:pPr>
      <w:rPr>
        <w:rFonts w:hint="default"/>
        <w:lang w:val="en-US" w:eastAsia="en-US" w:bidi="en-US"/>
      </w:rPr>
    </w:lvl>
    <w:lvl w:ilvl="4" w:tplc="C426A356">
      <w:numFmt w:val="bullet"/>
      <w:lvlText w:val="•"/>
      <w:lvlJc w:val="left"/>
      <w:pPr>
        <w:ind w:left="4038" w:hanging="360"/>
      </w:pPr>
      <w:rPr>
        <w:rFonts w:hint="default"/>
        <w:lang w:val="en-US" w:eastAsia="en-US" w:bidi="en-US"/>
      </w:rPr>
    </w:lvl>
    <w:lvl w:ilvl="5" w:tplc="C484AE60">
      <w:numFmt w:val="bullet"/>
      <w:lvlText w:val="•"/>
      <w:lvlJc w:val="left"/>
      <w:pPr>
        <w:ind w:left="4923" w:hanging="360"/>
      </w:pPr>
      <w:rPr>
        <w:rFonts w:hint="default"/>
        <w:lang w:val="en-US" w:eastAsia="en-US" w:bidi="en-US"/>
      </w:rPr>
    </w:lvl>
    <w:lvl w:ilvl="6" w:tplc="4CDAA502">
      <w:numFmt w:val="bullet"/>
      <w:lvlText w:val="•"/>
      <w:lvlJc w:val="left"/>
      <w:pPr>
        <w:ind w:left="5807" w:hanging="360"/>
      </w:pPr>
      <w:rPr>
        <w:rFonts w:hint="default"/>
        <w:lang w:val="en-US" w:eastAsia="en-US" w:bidi="en-US"/>
      </w:rPr>
    </w:lvl>
    <w:lvl w:ilvl="7" w:tplc="EF2C2F50">
      <w:numFmt w:val="bullet"/>
      <w:lvlText w:val="•"/>
      <w:lvlJc w:val="left"/>
      <w:pPr>
        <w:ind w:left="6692" w:hanging="360"/>
      </w:pPr>
      <w:rPr>
        <w:rFonts w:hint="default"/>
        <w:lang w:val="en-US" w:eastAsia="en-US" w:bidi="en-US"/>
      </w:rPr>
    </w:lvl>
    <w:lvl w:ilvl="8" w:tplc="5B367B04">
      <w:numFmt w:val="bullet"/>
      <w:lvlText w:val="•"/>
      <w:lvlJc w:val="left"/>
      <w:pPr>
        <w:ind w:left="7577" w:hanging="360"/>
      </w:pPr>
      <w:rPr>
        <w:rFonts w:hint="default"/>
        <w:lang w:val="en-US" w:eastAsia="en-US" w:bidi="en-US"/>
      </w:rPr>
    </w:lvl>
  </w:abstractNum>
  <w:abstractNum w:abstractNumId="7" w15:restartNumberingAfterBreak="0">
    <w:nsid w:val="0F473E82"/>
    <w:multiLevelType w:val="hybridMultilevel"/>
    <w:tmpl w:val="15EED200"/>
    <w:lvl w:ilvl="0" w:tplc="44090001">
      <w:start w:val="1"/>
      <w:numFmt w:val="bullet"/>
      <w:lvlText w:val=""/>
      <w:lvlJc w:val="left"/>
      <w:pPr>
        <w:ind w:left="720" w:hanging="360"/>
      </w:pPr>
      <w:rPr>
        <w:rFonts w:ascii="Symbol" w:hAnsi="Symbol" w:hint="default"/>
      </w:rPr>
    </w:lvl>
    <w:lvl w:ilvl="1" w:tplc="44090003" w:tentative="1">
      <w:start w:val="1"/>
      <w:numFmt w:val="bullet"/>
      <w:lvlText w:val="o"/>
      <w:lvlJc w:val="left"/>
      <w:pPr>
        <w:ind w:left="1440" w:hanging="360"/>
      </w:pPr>
      <w:rPr>
        <w:rFonts w:ascii="Courier New" w:hAnsi="Courier New" w:cs="Courier New" w:hint="default"/>
      </w:rPr>
    </w:lvl>
    <w:lvl w:ilvl="2" w:tplc="44090005" w:tentative="1">
      <w:start w:val="1"/>
      <w:numFmt w:val="bullet"/>
      <w:lvlText w:val=""/>
      <w:lvlJc w:val="left"/>
      <w:pPr>
        <w:ind w:left="2160" w:hanging="360"/>
      </w:pPr>
      <w:rPr>
        <w:rFonts w:ascii="Wingdings" w:hAnsi="Wingdings" w:hint="default"/>
      </w:rPr>
    </w:lvl>
    <w:lvl w:ilvl="3" w:tplc="44090001" w:tentative="1">
      <w:start w:val="1"/>
      <w:numFmt w:val="bullet"/>
      <w:lvlText w:val=""/>
      <w:lvlJc w:val="left"/>
      <w:pPr>
        <w:ind w:left="2880" w:hanging="360"/>
      </w:pPr>
      <w:rPr>
        <w:rFonts w:ascii="Symbol" w:hAnsi="Symbol" w:hint="default"/>
      </w:rPr>
    </w:lvl>
    <w:lvl w:ilvl="4" w:tplc="44090003" w:tentative="1">
      <w:start w:val="1"/>
      <w:numFmt w:val="bullet"/>
      <w:lvlText w:val="o"/>
      <w:lvlJc w:val="left"/>
      <w:pPr>
        <w:ind w:left="3600" w:hanging="360"/>
      </w:pPr>
      <w:rPr>
        <w:rFonts w:ascii="Courier New" w:hAnsi="Courier New" w:cs="Courier New" w:hint="default"/>
      </w:rPr>
    </w:lvl>
    <w:lvl w:ilvl="5" w:tplc="44090005" w:tentative="1">
      <w:start w:val="1"/>
      <w:numFmt w:val="bullet"/>
      <w:lvlText w:val=""/>
      <w:lvlJc w:val="left"/>
      <w:pPr>
        <w:ind w:left="4320" w:hanging="360"/>
      </w:pPr>
      <w:rPr>
        <w:rFonts w:ascii="Wingdings" w:hAnsi="Wingdings" w:hint="default"/>
      </w:rPr>
    </w:lvl>
    <w:lvl w:ilvl="6" w:tplc="44090001" w:tentative="1">
      <w:start w:val="1"/>
      <w:numFmt w:val="bullet"/>
      <w:lvlText w:val=""/>
      <w:lvlJc w:val="left"/>
      <w:pPr>
        <w:ind w:left="5040" w:hanging="360"/>
      </w:pPr>
      <w:rPr>
        <w:rFonts w:ascii="Symbol" w:hAnsi="Symbol" w:hint="default"/>
      </w:rPr>
    </w:lvl>
    <w:lvl w:ilvl="7" w:tplc="44090003" w:tentative="1">
      <w:start w:val="1"/>
      <w:numFmt w:val="bullet"/>
      <w:lvlText w:val="o"/>
      <w:lvlJc w:val="left"/>
      <w:pPr>
        <w:ind w:left="5760" w:hanging="360"/>
      </w:pPr>
      <w:rPr>
        <w:rFonts w:ascii="Courier New" w:hAnsi="Courier New" w:cs="Courier New" w:hint="default"/>
      </w:rPr>
    </w:lvl>
    <w:lvl w:ilvl="8" w:tplc="44090005" w:tentative="1">
      <w:start w:val="1"/>
      <w:numFmt w:val="bullet"/>
      <w:lvlText w:val=""/>
      <w:lvlJc w:val="left"/>
      <w:pPr>
        <w:ind w:left="6480" w:hanging="360"/>
      </w:pPr>
      <w:rPr>
        <w:rFonts w:ascii="Wingdings" w:hAnsi="Wingdings" w:hint="default"/>
      </w:rPr>
    </w:lvl>
  </w:abstractNum>
  <w:abstractNum w:abstractNumId="8" w15:restartNumberingAfterBreak="0">
    <w:nsid w:val="13D47309"/>
    <w:multiLevelType w:val="multilevel"/>
    <w:tmpl w:val="9738BF20"/>
    <w:lvl w:ilvl="0">
      <w:start w:val="1"/>
      <w:numFmt w:val="decimal"/>
      <w:lvlText w:val="%1."/>
      <w:lvlJc w:val="left"/>
      <w:pPr>
        <w:ind w:left="360" w:hanging="360"/>
      </w:pPr>
      <w:rPr>
        <w:rFonts w:hint="default"/>
      </w:rPr>
    </w:lvl>
    <w:lvl w:ilvl="1">
      <w:start w:val="1"/>
      <w:numFmt w:val="decimal"/>
      <w:lvlText w:val="%1.%2"/>
      <w:lvlJc w:val="left"/>
      <w:pPr>
        <w:ind w:left="1080" w:hanging="360"/>
      </w:pPr>
      <w:rPr>
        <w:rFonts w:hint="default"/>
        <w:b w:val="0"/>
        <w:bCs w:val="0"/>
        <w:sz w:val="24"/>
        <w:szCs w:val="24"/>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abstractNum w:abstractNumId="9" w15:restartNumberingAfterBreak="0">
    <w:nsid w:val="164456AB"/>
    <w:multiLevelType w:val="hybridMultilevel"/>
    <w:tmpl w:val="27FC68F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16666EDF"/>
    <w:multiLevelType w:val="hybridMultilevel"/>
    <w:tmpl w:val="4984E158"/>
    <w:lvl w:ilvl="0" w:tplc="44090001">
      <w:start w:val="1"/>
      <w:numFmt w:val="bullet"/>
      <w:lvlText w:val=""/>
      <w:lvlJc w:val="left"/>
      <w:pPr>
        <w:ind w:left="720" w:hanging="360"/>
      </w:pPr>
      <w:rPr>
        <w:rFonts w:ascii="Symbol" w:hAnsi="Symbol" w:hint="default"/>
      </w:rPr>
    </w:lvl>
    <w:lvl w:ilvl="1" w:tplc="44090003" w:tentative="1">
      <w:start w:val="1"/>
      <w:numFmt w:val="bullet"/>
      <w:lvlText w:val="o"/>
      <w:lvlJc w:val="left"/>
      <w:pPr>
        <w:ind w:left="1440" w:hanging="360"/>
      </w:pPr>
      <w:rPr>
        <w:rFonts w:ascii="Courier New" w:hAnsi="Courier New" w:cs="Courier New" w:hint="default"/>
      </w:rPr>
    </w:lvl>
    <w:lvl w:ilvl="2" w:tplc="44090005" w:tentative="1">
      <w:start w:val="1"/>
      <w:numFmt w:val="bullet"/>
      <w:lvlText w:val=""/>
      <w:lvlJc w:val="left"/>
      <w:pPr>
        <w:ind w:left="2160" w:hanging="360"/>
      </w:pPr>
      <w:rPr>
        <w:rFonts w:ascii="Wingdings" w:hAnsi="Wingdings" w:hint="default"/>
      </w:rPr>
    </w:lvl>
    <w:lvl w:ilvl="3" w:tplc="44090001" w:tentative="1">
      <w:start w:val="1"/>
      <w:numFmt w:val="bullet"/>
      <w:lvlText w:val=""/>
      <w:lvlJc w:val="left"/>
      <w:pPr>
        <w:ind w:left="2880" w:hanging="360"/>
      </w:pPr>
      <w:rPr>
        <w:rFonts w:ascii="Symbol" w:hAnsi="Symbol" w:hint="default"/>
      </w:rPr>
    </w:lvl>
    <w:lvl w:ilvl="4" w:tplc="44090003" w:tentative="1">
      <w:start w:val="1"/>
      <w:numFmt w:val="bullet"/>
      <w:lvlText w:val="o"/>
      <w:lvlJc w:val="left"/>
      <w:pPr>
        <w:ind w:left="3600" w:hanging="360"/>
      </w:pPr>
      <w:rPr>
        <w:rFonts w:ascii="Courier New" w:hAnsi="Courier New" w:cs="Courier New" w:hint="default"/>
      </w:rPr>
    </w:lvl>
    <w:lvl w:ilvl="5" w:tplc="44090005" w:tentative="1">
      <w:start w:val="1"/>
      <w:numFmt w:val="bullet"/>
      <w:lvlText w:val=""/>
      <w:lvlJc w:val="left"/>
      <w:pPr>
        <w:ind w:left="4320" w:hanging="360"/>
      </w:pPr>
      <w:rPr>
        <w:rFonts w:ascii="Wingdings" w:hAnsi="Wingdings" w:hint="default"/>
      </w:rPr>
    </w:lvl>
    <w:lvl w:ilvl="6" w:tplc="44090001" w:tentative="1">
      <w:start w:val="1"/>
      <w:numFmt w:val="bullet"/>
      <w:lvlText w:val=""/>
      <w:lvlJc w:val="left"/>
      <w:pPr>
        <w:ind w:left="5040" w:hanging="360"/>
      </w:pPr>
      <w:rPr>
        <w:rFonts w:ascii="Symbol" w:hAnsi="Symbol" w:hint="default"/>
      </w:rPr>
    </w:lvl>
    <w:lvl w:ilvl="7" w:tplc="44090003" w:tentative="1">
      <w:start w:val="1"/>
      <w:numFmt w:val="bullet"/>
      <w:lvlText w:val="o"/>
      <w:lvlJc w:val="left"/>
      <w:pPr>
        <w:ind w:left="5760" w:hanging="360"/>
      </w:pPr>
      <w:rPr>
        <w:rFonts w:ascii="Courier New" w:hAnsi="Courier New" w:cs="Courier New" w:hint="default"/>
      </w:rPr>
    </w:lvl>
    <w:lvl w:ilvl="8" w:tplc="44090005" w:tentative="1">
      <w:start w:val="1"/>
      <w:numFmt w:val="bullet"/>
      <w:lvlText w:val=""/>
      <w:lvlJc w:val="left"/>
      <w:pPr>
        <w:ind w:left="6480" w:hanging="360"/>
      </w:pPr>
      <w:rPr>
        <w:rFonts w:ascii="Wingdings" w:hAnsi="Wingdings" w:hint="default"/>
      </w:rPr>
    </w:lvl>
  </w:abstractNum>
  <w:abstractNum w:abstractNumId="11" w15:restartNumberingAfterBreak="0">
    <w:nsid w:val="171B0ED4"/>
    <w:multiLevelType w:val="hybridMultilevel"/>
    <w:tmpl w:val="C6400EB6"/>
    <w:lvl w:ilvl="0" w:tplc="06F890AE">
      <w:start w:val="1"/>
      <w:numFmt w:val="decimal"/>
      <w:lvlText w:val="%1)"/>
      <w:lvlJc w:val="left"/>
      <w:pPr>
        <w:ind w:left="860" w:hanging="360"/>
      </w:pPr>
      <w:rPr>
        <w:rFonts w:hint="default"/>
        <w:w w:val="99"/>
        <w:sz w:val="22"/>
        <w:szCs w:val="22"/>
        <w:lang w:val="en-US" w:eastAsia="en-US" w:bidi="en-U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1B4B3AA5"/>
    <w:multiLevelType w:val="multilevel"/>
    <w:tmpl w:val="35A45B5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1DB96B7F"/>
    <w:multiLevelType w:val="hybridMultilevel"/>
    <w:tmpl w:val="78EA13F4"/>
    <w:lvl w:ilvl="0" w:tplc="B274BEE2">
      <w:start w:val="1"/>
      <w:numFmt w:val="lowerLetter"/>
      <w:lvlText w:val="%1."/>
      <w:lvlJc w:val="left"/>
      <w:pPr>
        <w:ind w:left="500" w:hanging="360"/>
      </w:pPr>
      <w:rPr>
        <w:rFonts w:hint="default"/>
        <w:spacing w:val="0"/>
        <w:w w:val="99"/>
        <w:sz w:val="22"/>
        <w:szCs w:val="22"/>
        <w:lang w:val="en-US" w:eastAsia="en-US" w:bidi="en-US"/>
      </w:rPr>
    </w:lvl>
    <w:lvl w:ilvl="1" w:tplc="06F890AE">
      <w:start w:val="1"/>
      <w:numFmt w:val="decimal"/>
      <w:lvlText w:val="%2)"/>
      <w:lvlJc w:val="left"/>
      <w:pPr>
        <w:ind w:left="860" w:hanging="360"/>
      </w:pPr>
      <w:rPr>
        <w:rFonts w:hint="default"/>
        <w:w w:val="99"/>
        <w:sz w:val="22"/>
        <w:szCs w:val="22"/>
        <w:lang w:val="en-US" w:eastAsia="en-US" w:bidi="en-US"/>
      </w:rPr>
    </w:lvl>
    <w:lvl w:ilvl="2" w:tplc="D5A83D8A">
      <w:start w:val="1"/>
      <w:numFmt w:val="lowerLetter"/>
      <w:lvlText w:val="%3)"/>
      <w:lvlJc w:val="left"/>
      <w:pPr>
        <w:ind w:left="1220" w:hanging="360"/>
      </w:pPr>
      <w:rPr>
        <w:rFonts w:ascii="Times New Roman" w:hAnsi="Times New Roman" w:cs="Times New Roman" w:hint="default"/>
        <w:spacing w:val="0"/>
        <w:w w:val="99"/>
        <w:sz w:val="22"/>
        <w:szCs w:val="22"/>
        <w:lang w:val="en-US" w:eastAsia="en-US" w:bidi="en-US"/>
      </w:rPr>
    </w:lvl>
    <w:lvl w:ilvl="3" w:tplc="AD2E735C">
      <w:numFmt w:val="bullet"/>
      <w:lvlText w:val="•"/>
      <w:lvlJc w:val="left"/>
      <w:pPr>
        <w:ind w:left="2235" w:hanging="360"/>
      </w:pPr>
      <w:rPr>
        <w:rFonts w:hint="default"/>
        <w:lang w:val="en-US" w:eastAsia="en-US" w:bidi="en-US"/>
      </w:rPr>
    </w:lvl>
    <w:lvl w:ilvl="4" w:tplc="FD5C6776">
      <w:numFmt w:val="bullet"/>
      <w:lvlText w:val="•"/>
      <w:lvlJc w:val="left"/>
      <w:pPr>
        <w:ind w:left="3251" w:hanging="360"/>
      </w:pPr>
      <w:rPr>
        <w:rFonts w:hint="default"/>
        <w:lang w:val="en-US" w:eastAsia="en-US" w:bidi="en-US"/>
      </w:rPr>
    </w:lvl>
    <w:lvl w:ilvl="5" w:tplc="9C62086C">
      <w:numFmt w:val="bullet"/>
      <w:lvlText w:val="•"/>
      <w:lvlJc w:val="left"/>
      <w:pPr>
        <w:ind w:left="4267" w:hanging="360"/>
      </w:pPr>
      <w:rPr>
        <w:rFonts w:hint="default"/>
        <w:lang w:val="en-US" w:eastAsia="en-US" w:bidi="en-US"/>
      </w:rPr>
    </w:lvl>
    <w:lvl w:ilvl="6" w:tplc="7250D16A">
      <w:numFmt w:val="bullet"/>
      <w:lvlText w:val="•"/>
      <w:lvlJc w:val="left"/>
      <w:pPr>
        <w:ind w:left="5283" w:hanging="360"/>
      </w:pPr>
      <w:rPr>
        <w:rFonts w:hint="default"/>
        <w:lang w:val="en-US" w:eastAsia="en-US" w:bidi="en-US"/>
      </w:rPr>
    </w:lvl>
    <w:lvl w:ilvl="7" w:tplc="7CA2F0CA">
      <w:numFmt w:val="bullet"/>
      <w:lvlText w:val="•"/>
      <w:lvlJc w:val="left"/>
      <w:pPr>
        <w:ind w:left="6299" w:hanging="360"/>
      </w:pPr>
      <w:rPr>
        <w:rFonts w:hint="default"/>
        <w:lang w:val="en-US" w:eastAsia="en-US" w:bidi="en-US"/>
      </w:rPr>
    </w:lvl>
    <w:lvl w:ilvl="8" w:tplc="30D60730">
      <w:numFmt w:val="bullet"/>
      <w:lvlText w:val="•"/>
      <w:lvlJc w:val="left"/>
      <w:pPr>
        <w:ind w:left="7314" w:hanging="360"/>
      </w:pPr>
      <w:rPr>
        <w:rFonts w:hint="default"/>
        <w:lang w:val="en-US" w:eastAsia="en-US" w:bidi="en-US"/>
      </w:rPr>
    </w:lvl>
  </w:abstractNum>
  <w:abstractNum w:abstractNumId="14" w15:restartNumberingAfterBreak="0">
    <w:nsid w:val="1E5962AA"/>
    <w:multiLevelType w:val="hybridMultilevel"/>
    <w:tmpl w:val="CA90A81E"/>
    <w:lvl w:ilvl="0" w:tplc="4409000F">
      <w:start w:val="1"/>
      <w:numFmt w:val="decimal"/>
      <w:lvlText w:val="%1."/>
      <w:lvlJc w:val="left"/>
      <w:pPr>
        <w:ind w:left="720" w:hanging="360"/>
      </w:pPr>
    </w:lvl>
    <w:lvl w:ilvl="1" w:tplc="44090019" w:tentative="1">
      <w:start w:val="1"/>
      <w:numFmt w:val="lowerLetter"/>
      <w:lvlText w:val="%2."/>
      <w:lvlJc w:val="left"/>
      <w:pPr>
        <w:ind w:left="1440" w:hanging="360"/>
      </w:pPr>
    </w:lvl>
    <w:lvl w:ilvl="2" w:tplc="4409001B" w:tentative="1">
      <w:start w:val="1"/>
      <w:numFmt w:val="lowerRoman"/>
      <w:lvlText w:val="%3."/>
      <w:lvlJc w:val="right"/>
      <w:pPr>
        <w:ind w:left="2160" w:hanging="180"/>
      </w:pPr>
    </w:lvl>
    <w:lvl w:ilvl="3" w:tplc="4409000F" w:tentative="1">
      <w:start w:val="1"/>
      <w:numFmt w:val="decimal"/>
      <w:lvlText w:val="%4."/>
      <w:lvlJc w:val="left"/>
      <w:pPr>
        <w:ind w:left="2880" w:hanging="360"/>
      </w:pPr>
    </w:lvl>
    <w:lvl w:ilvl="4" w:tplc="44090019" w:tentative="1">
      <w:start w:val="1"/>
      <w:numFmt w:val="lowerLetter"/>
      <w:lvlText w:val="%5."/>
      <w:lvlJc w:val="left"/>
      <w:pPr>
        <w:ind w:left="3600" w:hanging="360"/>
      </w:pPr>
    </w:lvl>
    <w:lvl w:ilvl="5" w:tplc="4409001B" w:tentative="1">
      <w:start w:val="1"/>
      <w:numFmt w:val="lowerRoman"/>
      <w:lvlText w:val="%6."/>
      <w:lvlJc w:val="right"/>
      <w:pPr>
        <w:ind w:left="4320" w:hanging="180"/>
      </w:pPr>
    </w:lvl>
    <w:lvl w:ilvl="6" w:tplc="4409000F" w:tentative="1">
      <w:start w:val="1"/>
      <w:numFmt w:val="decimal"/>
      <w:lvlText w:val="%7."/>
      <w:lvlJc w:val="left"/>
      <w:pPr>
        <w:ind w:left="5040" w:hanging="360"/>
      </w:pPr>
    </w:lvl>
    <w:lvl w:ilvl="7" w:tplc="44090019" w:tentative="1">
      <w:start w:val="1"/>
      <w:numFmt w:val="lowerLetter"/>
      <w:lvlText w:val="%8."/>
      <w:lvlJc w:val="left"/>
      <w:pPr>
        <w:ind w:left="5760" w:hanging="360"/>
      </w:pPr>
    </w:lvl>
    <w:lvl w:ilvl="8" w:tplc="4409001B" w:tentative="1">
      <w:start w:val="1"/>
      <w:numFmt w:val="lowerRoman"/>
      <w:lvlText w:val="%9."/>
      <w:lvlJc w:val="right"/>
      <w:pPr>
        <w:ind w:left="6480" w:hanging="180"/>
      </w:pPr>
    </w:lvl>
  </w:abstractNum>
  <w:abstractNum w:abstractNumId="15" w15:restartNumberingAfterBreak="0">
    <w:nsid w:val="220F5DB3"/>
    <w:multiLevelType w:val="multilevel"/>
    <w:tmpl w:val="5712CF94"/>
    <w:lvl w:ilvl="0">
      <w:start w:val="1"/>
      <w:numFmt w:val="decimal"/>
      <w:lvlText w:val="%1"/>
      <w:lvlJc w:val="left"/>
      <w:pPr>
        <w:ind w:left="720" w:hanging="72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6" w15:restartNumberingAfterBreak="0">
    <w:nsid w:val="25CC33E5"/>
    <w:multiLevelType w:val="hybridMultilevel"/>
    <w:tmpl w:val="19F06064"/>
    <w:lvl w:ilvl="0" w:tplc="44090001">
      <w:start w:val="1"/>
      <w:numFmt w:val="bullet"/>
      <w:lvlText w:val=""/>
      <w:lvlJc w:val="left"/>
      <w:pPr>
        <w:ind w:left="720" w:hanging="360"/>
      </w:pPr>
      <w:rPr>
        <w:rFonts w:ascii="Symbol" w:hAnsi="Symbol" w:hint="default"/>
      </w:rPr>
    </w:lvl>
    <w:lvl w:ilvl="1" w:tplc="44090003" w:tentative="1">
      <w:start w:val="1"/>
      <w:numFmt w:val="bullet"/>
      <w:lvlText w:val="o"/>
      <w:lvlJc w:val="left"/>
      <w:pPr>
        <w:ind w:left="1440" w:hanging="360"/>
      </w:pPr>
      <w:rPr>
        <w:rFonts w:ascii="Courier New" w:hAnsi="Courier New" w:cs="Courier New" w:hint="default"/>
      </w:rPr>
    </w:lvl>
    <w:lvl w:ilvl="2" w:tplc="44090005" w:tentative="1">
      <w:start w:val="1"/>
      <w:numFmt w:val="bullet"/>
      <w:lvlText w:val=""/>
      <w:lvlJc w:val="left"/>
      <w:pPr>
        <w:ind w:left="2160" w:hanging="360"/>
      </w:pPr>
      <w:rPr>
        <w:rFonts w:ascii="Wingdings" w:hAnsi="Wingdings" w:hint="default"/>
      </w:rPr>
    </w:lvl>
    <w:lvl w:ilvl="3" w:tplc="44090001" w:tentative="1">
      <w:start w:val="1"/>
      <w:numFmt w:val="bullet"/>
      <w:lvlText w:val=""/>
      <w:lvlJc w:val="left"/>
      <w:pPr>
        <w:ind w:left="2880" w:hanging="360"/>
      </w:pPr>
      <w:rPr>
        <w:rFonts w:ascii="Symbol" w:hAnsi="Symbol" w:hint="default"/>
      </w:rPr>
    </w:lvl>
    <w:lvl w:ilvl="4" w:tplc="44090003" w:tentative="1">
      <w:start w:val="1"/>
      <w:numFmt w:val="bullet"/>
      <w:lvlText w:val="o"/>
      <w:lvlJc w:val="left"/>
      <w:pPr>
        <w:ind w:left="3600" w:hanging="360"/>
      </w:pPr>
      <w:rPr>
        <w:rFonts w:ascii="Courier New" w:hAnsi="Courier New" w:cs="Courier New" w:hint="default"/>
      </w:rPr>
    </w:lvl>
    <w:lvl w:ilvl="5" w:tplc="44090005" w:tentative="1">
      <w:start w:val="1"/>
      <w:numFmt w:val="bullet"/>
      <w:lvlText w:val=""/>
      <w:lvlJc w:val="left"/>
      <w:pPr>
        <w:ind w:left="4320" w:hanging="360"/>
      </w:pPr>
      <w:rPr>
        <w:rFonts w:ascii="Wingdings" w:hAnsi="Wingdings" w:hint="default"/>
      </w:rPr>
    </w:lvl>
    <w:lvl w:ilvl="6" w:tplc="44090001" w:tentative="1">
      <w:start w:val="1"/>
      <w:numFmt w:val="bullet"/>
      <w:lvlText w:val=""/>
      <w:lvlJc w:val="left"/>
      <w:pPr>
        <w:ind w:left="5040" w:hanging="360"/>
      </w:pPr>
      <w:rPr>
        <w:rFonts w:ascii="Symbol" w:hAnsi="Symbol" w:hint="default"/>
      </w:rPr>
    </w:lvl>
    <w:lvl w:ilvl="7" w:tplc="44090003" w:tentative="1">
      <w:start w:val="1"/>
      <w:numFmt w:val="bullet"/>
      <w:lvlText w:val="o"/>
      <w:lvlJc w:val="left"/>
      <w:pPr>
        <w:ind w:left="5760" w:hanging="360"/>
      </w:pPr>
      <w:rPr>
        <w:rFonts w:ascii="Courier New" w:hAnsi="Courier New" w:cs="Courier New" w:hint="default"/>
      </w:rPr>
    </w:lvl>
    <w:lvl w:ilvl="8" w:tplc="44090005" w:tentative="1">
      <w:start w:val="1"/>
      <w:numFmt w:val="bullet"/>
      <w:lvlText w:val=""/>
      <w:lvlJc w:val="left"/>
      <w:pPr>
        <w:ind w:left="6480" w:hanging="360"/>
      </w:pPr>
      <w:rPr>
        <w:rFonts w:ascii="Wingdings" w:hAnsi="Wingdings" w:hint="default"/>
      </w:rPr>
    </w:lvl>
  </w:abstractNum>
  <w:abstractNum w:abstractNumId="17" w15:restartNumberingAfterBreak="0">
    <w:nsid w:val="276E6628"/>
    <w:multiLevelType w:val="hybridMultilevel"/>
    <w:tmpl w:val="53602198"/>
    <w:lvl w:ilvl="0" w:tplc="5078672A">
      <w:start w:val="1"/>
      <w:numFmt w:val="lowerLetter"/>
      <w:lvlText w:val="%1."/>
      <w:lvlJc w:val="left"/>
      <w:pPr>
        <w:ind w:left="567" w:hanging="360"/>
      </w:pPr>
      <w:rPr>
        <w:rFonts w:hint="default"/>
        <w:spacing w:val="0"/>
        <w:w w:val="99"/>
        <w:sz w:val="22"/>
        <w:szCs w:val="22"/>
        <w:lang w:val="en-US" w:eastAsia="en-US" w:bidi="en-US"/>
      </w:rPr>
    </w:lvl>
    <w:lvl w:ilvl="1" w:tplc="DDEAFAE8">
      <w:numFmt w:val="bullet"/>
      <w:lvlText w:val="•"/>
      <w:lvlJc w:val="left"/>
      <w:pPr>
        <w:ind w:left="1438" w:hanging="360"/>
      </w:pPr>
      <w:rPr>
        <w:rFonts w:hint="default"/>
        <w:lang w:val="en-US" w:eastAsia="en-US" w:bidi="en-US"/>
      </w:rPr>
    </w:lvl>
    <w:lvl w:ilvl="2" w:tplc="4714512A">
      <w:numFmt w:val="bullet"/>
      <w:lvlText w:val="•"/>
      <w:lvlJc w:val="left"/>
      <w:pPr>
        <w:ind w:left="2317" w:hanging="360"/>
      </w:pPr>
      <w:rPr>
        <w:rFonts w:hint="default"/>
        <w:lang w:val="en-US" w:eastAsia="en-US" w:bidi="en-US"/>
      </w:rPr>
    </w:lvl>
    <w:lvl w:ilvl="3" w:tplc="3E12C130">
      <w:numFmt w:val="bullet"/>
      <w:lvlText w:val="•"/>
      <w:lvlJc w:val="left"/>
      <w:pPr>
        <w:ind w:left="3195" w:hanging="360"/>
      </w:pPr>
      <w:rPr>
        <w:rFonts w:hint="default"/>
        <w:lang w:val="en-US" w:eastAsia="en-US" w:bidi="en-US"/>
      </w:rPr>
    </w:lvl>
    <w:lvl w:ilvl="4" w:tplc="FB7EAC2A">
      <w:numFmt w:val="bullet"/>
      <w:lvlText w:val="•"/>
      <w:lvlJc w:val="left"/>
      <w:pPr>
        <w:ind w:left="4074" w:hanging="360"/>
      </w:pPr>
      <w:rPr>
        <w:rFonts w:hint="default"/>
        <w:lang w:val="en-US" w:eastAsia="en-US" w:bidi="en-US"/>
      </w:rPr>
    </w:lvl>
    <w:lvl w:ilvl="5" w:tplc="59C4376A">
      <w:numFmt w:val="bullet"/>
      <w:lvlText w:val="•"/>
      <w:lvlJc w:val="left"/>
      <w:pPr>
        <w:ind w:left="4953" w:hanging="360"/>
      </w:pPr>
      <w:rPr>
        <w:rFonts w:hint="default"/>
        <w:lang w:val="en-US" w:eastAsia="en-US" w:bidi="en-US"/>
      </w:rPr>
    </w:lvl>
    <w:lvl w:ilvl="6" w:tplc="2B0E1F06">
      <w:numFmt w:val="bullet"/>
      <w:lvlText w:val="•"/>
      <w:lvlJc w:val="left"/>
      <w:pPr>
        <w:ind w:left="5831" w:hanging="360"/>
      </w:pPr>
      <w:rPr>
        <w:rFonts w:hint="default"/>
        <w:lang w:val="en-US" w:eastAsia="en-US" w:bidi="en-US"/>
      </w:rPr>
    </w:lvl>
    <w:lvl w:ilvl="7" w:tplc="B0009746">
      <w:numFmt w:val="bullet"/>
      <w:lvlText w:val="•"/>
      <w:lvlJc w:val="left"/>
      <w:pPr>
        <w:ind w:left="6710" w:hanging="360"/>
      </w:pPr>
      <w:rPr>
        <w:rFonts w:hint="default"/>
        <w:lang w:val="en-US" w:eastAsia="en-US" w:bidi="en-US"/>
      </w:rPr>
    </w:lvl>
    <w:lvl w:ilvl="8" w:tplc="E1A2B4B6">
      <w:numFmt w:val="bullet"/>
      <w:lvlText w:val="•"/>
      <w:lvlJc w:val="left"/>
      <w:pPr>
        <w:ind w:left="7589" w:hanging="360"/>
      </w:pPr>
      <w:rPr>
        <w:rFonts w:hint="default"/>
        <w:lang w:val="en-US" w:eastAsia="en-US" w:bidi="en-US"/>
      </w:rPr>
    </w:lvl>
  </w:abstractNum>
  <w:abstractNum w:abstractNumId="18" w15:restartNumberingAfterBreak="0">
    <w:nsid w:val="2B423801"/>
    <w:multiLevelType w:val="multilevel"/>
    <w:tmpl w:val="7AEAEF34"/>
    <w:lvl w:ilvl="0">
      <w:start w:val="1"/>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9" w15:restartNumberingAfterBreak="0">
    <w:nsid w:val="2C3477E1"/>
    <w:multiLevelType w:val="hybridMultilevel"/>
    <w:tmpl w:val="6A605490"/>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0" w15:restartNumberingAfterBreak="0">
    <w:nsid w:val="2CB83DDF"/>
    <w:multiLevelType w:val="multilevel"/>
    <w:tmpl w:val="B9BAB8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2EE66A07"/>
    <w:multiLevelType w:val="hybridMultilevel"/>
    <w:tmpl w:val="B888B01C"/>
    <w:lvl w:ilvl="0" w:tplc="4409001B">
      <w:start w:val="1"/>
      <w:numFmt w:val="lowerRoman"/>
      <w:lvlText w:val="%1."/>
      <w:lvlJc w:val="right"/>
      <w:pPr>
        <w:ind w:left="1440" w:hanging="360"/>
      </w:pPr>
    </w:lvl>
    <w:lvl w:ilvl="1" w:tplc="44090019" w:tentative="1">
      <w:start w:val="1"/>
      <w:numFmt w:val="lowerLetter"/>
      <w:lvlText w:val="%2."/>
      <w:lvlJc w:val="left"/>
      <w:pPr>
        <w:ind w:left="2160" w:hanging="360"/>
      </w:pPr>
    </w:lvl>
    <w:lvl w:ilvl="2" w:tplc="4409001B" w:tentative="1">
      <w:start w:val="1"/>
      <w:numFmt w:val="lowerRoman"/>
      <w:lvlText w:val="%3."/>
      <w:lvlJc w:val="right"/>
      <w:pPr>
        <w:ind w:left="2880" w:hanging="180"/>
      </w:pPr>
    </w:lvl>
    <w:lvl w:ilvl="3" w:tplc="4409000F" w:tentative="1">
      <w:start w:val="1"/>
      <w:numFmt w:val="decimal"/>
      <w:lvlText w:val="%4."/>
      <w:lvlJc w:val="left"/>
      <w:pPr>
        <w:ind w:left="3600" w:hanging="360"/>
      </w:pPr>
    </w:lvl>
    <w:lvl w:ilvl="4" w:tplc="44090019" w:tentative="1">
      <w:start w:val="1"/>
      <w:numFmt w:val="lowerLetter"/>
      <w:lvlText w:val="%5."/>
      <w:lvlJc w:val="left"/>
      <w:pPr>
        <w:ind w:left="4320" w:hanging="360"/>
      </w:pPr>
    </w:lvl>
    <w:lvl w:ilvl="5" w:tplc="4409001B" w:tentative="1">
      <w:start w:val="1"/>
      <w:numFmt w:val="lowerRoman"/>
      <w:lvlText w:val="%6."/>
      <w:lvlJc w:val="right"/>
      <w:pPr>
        <w:ind w:left="5040" w:hanging="180"/>
      </w:pPr>
    </w:lvl>
    <w:lvl w:ilvl="6" w:tplc="4409000F" w:tentative="1">
      <w:start w:val="1"/>
      <w:numFmt w:val="decimal"/>
      <w:lvlText w:val="%7."/>
      <w:lvlJc w:val="left"/>
      <w:pPr>
        <w:ind w:left="5760" w:hanging="360"/>
      </w:pPr>
    </w:lvl>
    <w:lvl w:ilvl="7" w:tplc="44090019" w:tentative="1">
      <w:start w:val="1"/>
      <w:numFmt w:val="lowerLetter"/>
      <w:lvlText w:val="%8."/>
      <w:lvlJc w:val="left"/>
      <w:pPr>
        <w:ind w:left="6480" w:hanging="360"/>
      </w:pPr>
    </w:lvl>
    <w:lvl w:ilvl="8" w:tplc="4409001B" w:tentative="1">
      <w:start w:val="1"/>
      <w:numFmt w:val="lowerRoman"/>
      <w:lvlText w:val="%9."/>
      <w:lvlJc w:val="right"/>
      <w:pPr>
        <w:ind w:left="7200" w:hanging="180"/>
      </w:pPr>
    </w:lvl>
  </w:abstractNum>
  <w:abstractNum w:abstractNumId="22" w15:restartNumberingAfterBreak="0">
    <w:nsid w:val="2F480AC5"/>
    <w:multiLevelType w:val="multilevel"/>
    <w:tmpl w:val="A75CDD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32563E52"/>
    <w:multiLevelType w:val="multilevel"/>
    <w:tmpl w:val="3B9C60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34D20B6E"/>
    <w:multiLevelType w:val="hybridMultilevel"/>
    <w:tmpl w:val="0C380B0E"/>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5" w15:restartNumberingAfterBreak="0">
    <w:nsid w:val="3DE37833"/>
    <w:multiLevelType w:val="hybridMultilevel"/>
    <w:tmpl w:val="9EBE83A4"/>
    <w:lvl w:ilvl="0" w:tplc="04210015">
      <w:start w:val="1"/>
      <w:numFmt w:val="upp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6" w15:restartNumberingAfterBreak="0">
    <w:nsid w:val="3E7F4F10"/>
    <w:multiLevelType w:val="multilevel"/>
    <w:tmpl w:val="99BEB634"/>
    <w:lvl w:ilvl="0">
      <w:start w:val="1"/>
      <w:numFmt w:val="upperLetter"/>
      <w:lvlText w:val="%1)"/>
      <w:lvlJc w:val="left"/>
      <w:pPr>
        <w:ind w:left="1080" w:hanging="360"/>
      </w:p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27" w15:restartNumberingAfterBreak="0">
    <w:nsid w:val="3FBD7837"/>
    <w:multiLevelType w:val="hybridMultilevel"/>
    <w:tmpl w:val="DEA4BE58"/>
    <w:lvl w:ilvl="0" w:tplc="4409000F">
      <w:start w:val="1"/>
      <w:numFmt w:val="decimal"/>
      <w:lvlText w:val="%1."/>
      <w:lvlJc w:val="left"/>
      <w:pPr>
        <w:ind w:left="720" w:hanging="360"/>
      </w:pPr>
      <w:rPr>
        <w:rFonts w:hint="default"/>
      </w:rPr>
    </w:lvl>
    <w:lvl w:ilvl="1" w:tplc="44090019" w:tentative="1">
      <w:start w:val="1"/>
      <w:numFmt w:val="lowerLetter"/>
      <w:lvlText w:val="%2."/>
      <w:lvlJc w:val="left"/>
      <w:pPr>
        <w:ind w:left="1440" w:hanging="360"/>
      </w:pPr>
    </w:lvl>
    <w:lvl w:ilvl="2" w:tplc="4409001B" w:tentative="1">
      <w:start w:val="1"/>
      <w:numFmt w:val="lowerRoman"/>
      <w:lvlText w:val="%3."/>
      <w:lvlJc w:val="right"/>
      <w:pPr>
        <w:ind w:left="2160" w:hanging="180"/>
      </w:pPr>
    </w:lvl>
    <w:lvl w:ilvl="3" w:tplc="4409000F" w:tentative="1">
      <w:start w:val="1"/>
      <w:numFmt w:val="decimal"/>
      <w:lvlText w:val="%4."/>
      <w:lvlJc w:val="left"/>
      <w:pPr>
        <w:ind w:left="2880" w:hanging="360"/>
      </w:pPr>
    </w:lvl>
    <w:lvl w:ilvl="4" w:tplc="44090019" w:tentative="1">
      <w:start w:val="1"/>
      <w:numFmt w:val="lowerLetter"/>
      <w:lvlText w:val="%5."/>
      <w:lvlJc w:val="left"/>
      <w:pPr>
        <w:ind w:left="3600" w:hanging="360"/>
      </w:pPr>
    </w:lvl>
    <w:lvl w:ilvl="5" w:tplc="4409001B" w:tentative="1">
      <w:start w:val="1"/>
      <w:numFmt w:val="lowerRoman"/>
      <w:lvlText w:val="%6."/>
      <w:lvlJc w:val="right"/>
      <w:pPr>
        <w:ind w:left="4320" w:hanging="180"/>
      </w:pPr>
    </w:lvl>
    <w:lvl w:ilvl="6" w:tplc="4409000F" w:tentative="1">
      <w:start w:val="1"/>
      <w:numFmt w:val="decimal"/>
      <w:lvlText w:val="%7."/>
      <w:lvlJc w:val="left"/>
      <w:pPr>
        <w:ind w:left="5040" w:hanging="360"/>
      </w:pPr>
    </w:lvl>
    <w:lvl w:ilvl="7" w:tplc="44090019" w:tentative="1">
      <w:start w:val="1"/>
      <w:numFmt w:val="lowerLetter"/>
      <w:lvlText w:val="%8."/>
      <w:lvlJc w:val="left"/>
      <w:pPr>
        <w:ind w:left="5760" w:hanging="360"/>
      </w:pPr>
    </w:lvl>
    <w:lvl w:ilvl="8" w:tplc="4409001B" w:tentative="1">
      <w:start w:val="1"/>
      <w:numFmt w:val="lowerRoman"/>
      <w:lvlText w:val="%9."/>
      <w:lvlJc w:val="right"/>
      <w:pPr>
        <w:ind w:left="6480" w:hanging="180"/>
      </w:pPr>
    </w:lvl>
  </w:abstractNum>
  <w:abstractNum w:abstractNumId="28" w15:restartNumberingAfterBreak="0">
    <w:nsid w:val="41732947"/>
    <w:multiLevelType w:val="multilevel"/>
    <w:tmpl w:val="2A903946"/>
    <w:lvl w:ilvl="0">
      <w:start w:val="2"/>
      <w:numFmt w:val="upperLetter"/>
      <w:lvlText w:val="%1)"/>
      <w:lvlJc w:val="left"/>
      <w:pPr>
        <w:ind w:left="1080" w:hanging="360"/>
      </w:pPr>
      <w:rPr>
        <w:b/>
      </w:r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29" w15:restartNumberingAfterBreak="0">
    <w:nsid w:val="42AB4EB3"/>
    <w:multiLevelType w:val="hybridMultilevel"/>
    <w:tmpl w:val="C6400EB6"/>
    <w:lvl w:ilvl="0" w:tplc="06F890AE">
      <w:start w:val="1"/>
      <w:numFmt w:val="decimal"/>
      <w:lvlText w:val="%1)"/>
      <w:lvlJc w:val="left"/>
      <w:pPr>
        <w:ind w:left="860" w:hanging="360"/>
      </w:pPr>
      <w:rPr>
        <w:rFonts w:hint="default"/>
        <w:w w:val="99"/>
        <w:sz w:val="22"/>
        <w:szCs w:val="22"/>
        <w:lang w:val="en-US" w:eastAsia="en-US" w:bidi="en-U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46847BDC"/>
    <w:multiLevelType w:val="hybridMultilevel"/>
    <w:tmpl w:val="8A08B8CA"/>
    <w:lvl w:ilvl="0" w:tplc="B7BAD396">
      <w:start w:val="1"/>
      <w:numFmt w:val="decimal"/>
      <w:lvlText w:val="%1)"/>
      <w:lvlJc w:val="left"/>
      <w:pPr>
        <w:ind w:left="860" w:hanging="360"/>
      </w:pPr>
      <w:rPr>
        <w:rFonts w:ascii="Times New Roman" w:eastAsia="Times New Roman" w:hAnsi="Times New Roman" w:cs="Times New Roman" w:hint="default"/>
        <w:spacing w:val="0"/>
        <w:w w:val="99"/>
        <w:sz w:val="20"/>
        <w:szCs w:val="20"/>
        <w:lang w:val="en-US" w:eastAsia="en-US" w:bidi="en-U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47582E9D"/>
    <w:multiLevelType w:val="hybridMultilevel"/>
    <w:tmpl w:val="056667FC"/>
    <w:lvl w:ilvl="0" w:tplc="44F0FD6E">
      <w:start w:val="1"/>
      <w:numFmt w:val="lowerLetter"/>
      <w:lvlText w:val="%1)"/>
      <w:lvlJc w:val="left"/>
      <w:pPr>
        <w:ind w:left="1080" w:hanging="360"/>
      </w:pPr>
      <w:rPr>
        <w:rFonts w:hint="default"/>
      </w:r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32" w15:restartNumberingAfterBreak="0">
    <w:nsid w:val="51E21780"/>
    <w:multiLevelType w:val="multilevel"/>
    <w:tmpl w:val="D1B49B84"/>
    <w:lvl w:ilvl="0">
      <w:start w:val="1"/>
      <w:numFmt w:val="decimal"/>
      <w:lvlText w:val="%1.0"/>
      <w:lvlJc w:val="left"/>
      <w:pPr>
        <w:ind w:left="360" w:hanging="360"/>
      </w:pPr>
      <w:rPr>
        <w:rFonts w:hint="default"/>
      </w:rPr>
    </w:lvl>
    <w:lvl w:ilvl="1">
      <w:start w:val="1"/>
      <w:numFmt w:val="decimal"/>
      <w:lvlText w:val="%1.%2"/>
      <w:lvlJc w:val="left"/>
      <w:pPr>
        <w:ind w:left="1080" w:hanging="360"/>
      </w:pPr>
      <w:rPr>
        <w:rFonts w:hint="default"/>
        <w:b w:val="0"/>
        <w:bCs w:val="0"/>
        <w:sz w:val="24"/>
        <w:szCs w:val="24"/>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abstractNum w:abstractNumId="33" w15:restartNumberingAfterBreak="0">
    <w:nsid w:val="5D166F88"/>
    <w:multiLevelType w:val="hybridMultilevel"/>
    <w:tmpl w:val="EAF6937E"/>
    <w:lvl w:ilvl="0" w:tplc="04210015">
      <w:start w:val="1"/>
      <w:numFmt w:val="upperLetter"/>
      <w:lvlText w:val="%1."/>
      <w:lvlJc w:val="left"/>
      <w:pPr>
        <w:ind w:left="360" w:hanging="360"/>
      </w:pPr>
      <w:rPr>
        <w:rFonts w:hint="default"/>
      </w:rPr>
    </w:lvl>
    <w:lvl w:ilvl="1" w:tplc="04210019" w:tentative="1">
      <w:start w:val="1"/>
      <w:numFmt w:val="lowerLetter"/>
      <w:lvlText w:val="%2."/>
      <w:lvlJc w:val="left"/>
      <w:pPr>
        <w:ind w:left="1080" w:hanging="360"/>
      </w:pPr>
    </w:lvl>
    <w:lvl w:ilvl="2" w:tplc="0421001B" w:tentative="1">
      <w:start w:val="1"/>
      <w:numFmt w:val="lowerRoman"/>
      <w:lvlText w:val="%3."/>
      <w:lvlJc w:val="right"/>
      <w:pPr>
        <w:ind w:left="1800" w:hanging="180"/>
      </w:pPr>
    </w:lvl>
    <w:lvl w:ilvl="3" w:tplc="0421000F" w:tentative="1">
      <w:start w:val="1"/>
      <w:numFmt w:val="decimal"/>
      <w:lvlText w:val="%4."/>
      <w:lvlJc w:val="left"/>
      <w:pPr>
        <w:ind w:left="2520" w:hanging="360"/>
      </w:pPr>
    </w:lvl>
    <w:lvl w:ilvl="4" w:tplc="04210019" w:tentative="1">
      <w:start w:val="1"/>
      <w:numFmt w:val="lowerLetter"/>
      <w:lvlText w:val="%5."/>
      <w:lvlJc w:val="left"/>
      <w:pPr>
        <w:ind w:left="3240" w:hanging="360"/>
      </w:pPr>
    </w:lvl>
    <w:lvl w:ilvl="5" w:tplc="0421001B" w:tentative="1">
      <w:start w:val="1"/>
      <w:numFmt w:val="lowerRoman"/>
      <w:lvlText w:val="%6."/>
      <w:lvlJc w:val="right"/>
      <w:pPr>
        <w:ind w:left="3960" w:hanging="180"/>
      </w:pPr>
    </w:lvl>
    <w:lvl w:ilvl="6" w:tplc="0421000F" w:tentative="1">
      <w:start w:val="1"/>
      <w:numFmt w:val="decimal"/>
      <w:lvlText w:val="%7."/>
      <w:lvlJc w:val="left"/>
      <w:pPr>
        <w:ind w:left="4680" w:hanging="360"/>
      </w:pPr>
    </w:lvl>
    <w:lvl w:ilvl="7" w:tplc="04210019" w:tentative="1">
      <w:start w:val="1"/>
      <w:numFmt w:val="lowerLetter"/>
      <w:lvlText w:val="%8."/>
      <w:lvlJc w:val="left"/>
      <w:pPr>
        <w:ind w:left="5400" w:hanging="360"/>
      </w:pPr>
    </w:lvl>
    <w:lvl w:ilvl="8" w:tplc="0421001B" w:tentative="1">
      <w:start w:val="1"/>
      <w:numFmt w:val="lowerRoman"/>
      <w:lvlText w:val="%9."/>
      <w:lvlJc w:val="right"/>
      <w:pPr>
        <w:ind w:left="6120" w:hanging="180"/>
      </w:pPr>
    </w:lvl>
  </w:abstractNum>
  <w:abstractNum w:abstractNumId="34" w15:restartNumberingAfterBreak="0">
    <w:nsid w:val="5E175478"/>
    <w:multiLevelType w:val="hybridMultilevel"/>
    <w:tmpl w:val="9A52C440"/>
    <w:lvl w:ilvl="0" w:tplc="AF3ACB2A">
      <w:start w:val="1"/>
      <w:numFmt w:val="decimal"/>
      <w:lvlText w:val="%1."/>
      <w:lvlJc w:val="left"/>
      <w:pPr>
        <w:ind w:left="786" w:hanging="360"/>
      </w:pPr>
      <w:rPr>
        <w:rFonts w:hint="default"/>
      </w:rPr>
    </w:lvl>
    <w:lvl w:ilvl="1" w:tplc="04210019" w:tentative="1">
      <w:start w:val="1"/>
      <w:numFmt w:val="lowerLetter"/>
      <w:lvlText w:val="%2."/>
      <w:lvlJc w:val="left"/>
      <w:pPr>
        <w:ind w:left="1506" w:hanging="360"/>
      </w:pPr>
    </w:lvl>
    <w:lvl w:ilvl="2" w:tplc="0421001B" w:tentative="1">
      <w:start w:val="1"/>
      <w:numFmt w:val="lowerRoman"/>
      <w:lvlText w:val="%3."/>
      <w:lvlJc w:val="right"/>
      <w:pPr>
        <w:ind w:left="2226" w:hanging="180"/>
      </w:pPr>
    </w:lvl>
    <w:lvl w:ilvl="3" w:tplc="0421000F" w:tentative="1">
      <w:start w:val="1"/>
      <w:numFmt w:val="decimal"/>
      <w:lvlText w:val="%4."/>
      <w:lvlJc w:val="left"/>
      <w:pPr>
        <w:ind w:left="2946" w:hanging="360"/>
      </w:pPr>
    </w:lvl>
    <w:lvl w:ilvl="4" w:tplc="04210019" w:tentative="1">
      <w:start w:val="1"/>
      <w:numFmt w:val="lowerLetter"/>
      <w:lvlText w:val="%5."/>
      <w:lvlJc w:val="left"/>
      <w:pPr>
        <w:ind w:left="3666" w:hanging="360"/>
      </w:pPr>
    </w:lvl>
    <w:lvl w:ilvl="5" w:tplc="0421001B" w:tentative="1">
      <w:start w:val="1"/>
      <w:numFmt w:val="lowerRoman"/>
      <w:lvlText w:val="%6."/>
      <w:lvlJc w:val="right"/>
      <w:pPr>
        <w:ind w:left="4386" w:hanging="180"/>
      </w:pPr>
    </w:lvl>
    <w:lvl w:ilvl="6" w:tplc="0421000F" w:tentative="1">
      <w:start w:val="1"/>
      <w:numFmt w:val="decimal"/>
      <w:lvlText w:val="%7."/>
      <w:lvlJc w:val="left"/>
      <w:pPr>
        <w:ind w:left="5106" w:hanging="360"/>
      </w:pPr>
    </w:lvl>
    <w:lvl w:ilvl="7" w:tplc="04210019" w:tentative="1">
      <w:start w:val="1"/>
      <w:numFmt w:val="lowerLetter"/>
      <w:lvlText w:val="%8."/>
      <w:lvlJc w:val="left"/>
      <w:pPr>
        <w:ind w:left="5826" w:hanging="360"/>
      </w:pPr>
    </w:lvl>
    <w:lvl w:ilvl="8" w:tplc="0421001B" w:tentative="1">
      <w:start w:val="1"/>
      <w:numFmt w:val="lowerRoman"/>
      <w:lvlText w:val="%9."/>
      <w:lvlJc w:val="right"/>
      <w:pPr>
        <w:ind w:left="6546" w:hanging="180"/>
      </w:pPr>
    </w:lvl>
  </w:abstractNum>
  <w:abstractNum w:abstractNumId="35" w15:restartNumberingAfterBreak="0">
    <w:nsid w:val="5F2434B6"/>
    <w:multiLevelType w:val="multilevel"/>
    <w:tmpl w:val="AB3CC14C"/>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6" w15:restartNumberingAfterBreak="0">
    <w:nsid w:val="602540E4"/>
    <w:multiLevelType w:val="hybridMultilevel"/>
    <w:tmpl w:val="40E60D4C"/>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7" w15:restartNumberingAfterBreak="0">
    <w:nsid w:val="60793FBD"/>
    <w:multiLevelType w:val="hybridMultilevel"/>
    <w:tmpl w:val="F372013E"/>
    <w:lvl w:ilvl="0" w:tplc="4409001B">
      <w:start w:val="1"/>
      <w:numFmt w:val="lowerRoman"/>
      <w:lvlText w:val="%1."/>
      <w:lvlJc w:val="right"/>
      <w:pPr>
        <w:ind w:left="1440" w:hanging="360"/>
      </w:pPr>
    </w:lvl>
    <w:lvl w:ilvl="1" w:tplc="44090019" w:tentative="1">
      <w:start w:val="1"/>
      <w:numFmt w:val="lowerLetter"/>
      <w:lvlText w:val="%2."/>
      <w:lvlJc w:val="left"/>
      <w:pPr>
        <w:ind w:left="2160" w:hanging="360"/>
      </w:pPr>
    </w:lvl>
    <w:lvl w:ilvl="2" w:tplc="4409001B" w:tentative="1">
      <w:start w:val="1"/>
      <w:numFmt w:val="lowerRoman"/>
      <w:lvlText w:val="%3."/>
      <w:lvlJc w:val="right"/>
      <w:pPr>
        <w:ind w:left="2880" w:hanging="180"/>
      </w:pPr>
    </w:lvl>
    <w:lvl w:ilvl="3" w:tplc="4409000F">
      <w:start w:val="1"/>
      <w:numFmt w:val="decimal"/>
      <w:lvlText w:val="%4."/>
      <w:lvlJc w:val="left"/>
      <w:pPr>
        <w:ind w:left="3600" w:hanging="360"/>
      </w:pPr>
    </w:lvl>
    <w:lvl w:ilvl="4" w:tplc="44090019" w:tentative="1">
      <w:start w:val="1"/>
      <w:numFmt w:val="lowerLetter"/>
      <w:lvlText w:val="%5."/>
      <w:lvlJc w:val="left"/>
      <w:pPr>
        <w:ind w:left="4320" w:hanging="360"/>
      </w:pPr>
    </w:lvl>
    <w:lvl w:ilvl="5" w:tplc="4409001B" w:tentative="1">
      <w:start w:val="1"/>
      <w:numFmt w:val="lowerRoman"/>
      <w:lvlText w:val="%6."/>
      <w:lvlJc w:val="right"/>
      <w:pPr>
        <w:ind w:left="5040" w:hanging="180"/>
      </w:pPr>
    </w:lvl>
    <w:lvl w:ilvl="6" w:tplc="4409000F" w:tentative="1">
      <w:start w:val="1"/>
      <w:numFmt w:val="decimal"/>
      <w:lvlText w:val="%7."/>
      <w:lvlJc w:val="left"/>
      <w:pPr>
        <w:ind w:left="5760" w:hanging="360"/>
      </w:pPr>
    </w:lvl>
    <w:lvl w:ilvl="7" w:tplc="44090019" w:tentative="1">
      <w:start w:val="1"/>
      <w:numFmt w:val="lowerLetter"/>
      <w:lvlText w:val="%8."/>
      <w:lvlJc w:val="left"/>
      <w:pPr>
        <w:ind w:left="6480" w:hanging="360"/>
      </w:pPr>
    </w:lvl>
    <w:lvl w:ilvl="8" w:tplc="4409001B" w:tentative="1">
      <w:start w:val="1"/>
      <w:numFmt w:val="lowerRoman"/>
      <w:lvlText w:val="%9."/>
      <w:lvlJc w:val="right"/>
      <w:pPr>
        <w:ind w:left="7200" w:hanging="180"/>
      </w:pPr>
    </w:lvl>
  </w:abstractNum>
  <w:abstractNum w:abstractNumId="38" w15:restartNumberingAfterBreak="0">
    <w:nsid w:val="6775344B"/>
    <w:multiLevelType w:val="multilevel"/>
    <w:tmpl w:val="AC12CD48"/>
    <w:lvl w:ilvl="0">
      <w:start w:val="1"/>
      <w:numFmt w:val="decimal"/>
      <w:lvlText w:val="%1.0"/>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39" w15:restartNumberingAfterBreak="0">
    <w:nsid w:val="691E6E3C"/>
    <w:multiLevelType w:val="hybridMultilevel"/>
    <w:tmpl w:val="FF0AC5C4"/>
    <w:lvl w:ilvl="0" w:tplc="946214D0">
      <w:start w:val="1"/>
      <w:numFmt w:val="upperLetter"/>
      <w:lvlText w:val="%1)"/>
      <w:lvlJc w:val="left"/>
      <w:pPr>
        <w:ind w:left="500" w:hanging="360"/>
      </w:pPr>
      <w:rPr>
        <w:rFonts w:hint="default"/>
        <w:b/>
        <w:bCs w:val="0"/>
        <w:spacing w:val="0"/>
        <w:w w:val="99"/>
        <w:sz w:val="20"/>
        <w:szCs w:val="20"/>
        <w:lang w:val="en-US" w:eastAsia="en-US" w:bidi="en-US"/>
      </w:rPr>
    </w:lvl>
    <w:lvl w:ilvl="1" w:tplc="72941BF8">
      <w:numFmt w:val="bullet"/>
      <w:lvlText w:val="•"/>
      <w:lvlJc w:val="left"/>
      <w:pPr>
        <w:ind w:left="1384" w:hanging="360"/>
      </w:pPr>
      <w:rPr>
        <w:rFonts w:hint="default"/>
        <w:lang w:val="en-US" w:eastAsia="en-US" w:bidi="en-US"/>
      </w:rPr>
    </w:lvl>
    <w:lvl w:ilvl="2" w:tplc="6394B3CC">
      <w:numFmt w:val="bullet"/>
      <w:lvlText w:val="•"/>
      <w:lvlJc w:val="left"/>
      <w:pPr>
        <w:ind w:left="2269" w:hanging="360"/>
      </w:pPr>
      <w:rPr>
        <w:rFonts w:hint="default"/>
        <w:lang w:val="en-US" w:eastAsia="en-US" w:bidi="en-US"/>
      </w:rPr>
    </w:lvl>
    <w:lvl w:ilvl="3" w:tplc="173A5470">
      <w:numFmt w:val="bullet"/>
      <w:lvlText w:val="•"/>
      <w:lvlJc w:val="left"/>
      <w:pPr>
        <w:ind w:left="3153" w:hanging="360"/>
      </w:pPr>
      <w:rPr>
        <w:rFonts w:hint="default"/>
        <w:lang w:val="en-US" w:eastAsia="en-US" w:bidi="en-US"/>
      </w:rPr>
    </w:lvl>
    <w:lvl w:ilvl="4" w:tplc="C426A356">
      <w:numFmt w:val="bullet"/>
      <w:lvlText w:val="•"/>
      <w:lvlJc w:val="left"/>
      <w:pPr>
        <w:ind w:left="4038" w:hanging="360"/>
      </w:pPr>
      <w:rPr>
        <w:rFonts w:hint="default"/>
        <w:lang w:val="en-US" w:eastAsia="en-US" w:bidi="en-US"/>
      </w:rPr>
    </w:lvl>
    <w:lvl w:ilvl="5" w:tplc="C484AE60">
      <w:numFmt w:val="bullet"/>
      <w:lvlText w:val="•"/>
      <w:lvlJc w:val="left"/>
      <w:pPr>
        <w:ind w:left="4923" w:hanging="360"/>
      </w:pPr>
      <w:rPr>
        <w:rFonts w:hint="default"/>
        <w:lang w:val="en-US" w:eastAsia="en-US" w:bidi="en-US"/>
      </w:rPr>
    </w:lvl>
    <w:lvl w:ilvl="6" w:tplc="4CDAA502">
      <w:numFmt w:val="bullet"/>
      <w:lvlText w:val="•"/>
      <w:lvlJc w:val="left"/>
      <w:pPr>
        <w:ind w:left="5807" w:hanging="360"/>
      </w:pPr>
      <w:rPr>
        <w:rFonts w:hint="default"/>
        <w:lang w:val="en-US" w:eastAsia="en-US" w:bidi="en-US"/>
      </w:rPr>
    </w:lvl>
    <w:lvl w:ilvl="7" w:tplc="EF2C2F50">
      <w:numFmt w:val="bullet"/>
      <w:lvlText w:val="•"/>
      <w:lvlJc w:val="left"/>
      <w:pPr>
        <w:ind w:left="6692" w:hanging="360"/>
      </w:pPr>
      <w:rPr>
        <w:rFonts w:hint="default"/>
        <w:lang w:val="en-US" w:eastAsia="en-US" w:bidi="en-US"/>
      </w:rPr>
    </w:lvl>
    <w:lvl w:ilvl="8" w:tplc="5B367B04">
      <w:numFmt w:val="bullet"/>
      <w:lvlText w:val="•"/>
      <w:lvlJc w:val="left"/>
      <w:pPr>
        <w:ind w:left="7577" w:hanging="360"/>
      </w:pPr>
      <w:rPr>
        <w:rFonts w:hint="default"/>
        <w:lang w:val="en-US" w:eastAsia="en-US" w:bidi="en-US"/>
      </w:rPr>
    </w:lvl>
  </w:abstractNum>
  <w:abstractNum w:abstractNumId="40" w15:restartNumberingAfterBreak="0">
    <w:nsid w:val="6DA40003"/>
    <w:multiLevelType w:val="multilevel"/>
    <w:tmpl w:val="D1B49B84"/>
    <w:lvl w:ilvl="0">
      <w:start w:val="1"/>
      <w:numFmt w:val="decimal"/>
      <w:lvlText w:val="%1.0"/>
      <w:lvlJc w:val="left"/>
      <w:pPr>
        <w:ind w:left="360" w:hanging="360"/>
      </w:pPr>
      <w:rPr>
        <w:rFonts w:hint="default"/>
      </w:rPr>
    </w:lvl>
    <w:lvl w:ilvl="1">
      <w:start w:val="1"/>
      <w:numFmt w:val="decimal"/>
      <w:lvlText w:val="%1.%2"/>
      <w:lvlJc w:val="left"/>
      <w:pPr>
        <w:ind w:left="1080" w:hanging="360"/>
      </w:pPr>
      <w:rPr>
        <w:rFonts w:hint="default"/>
        <w:b w:val="0"/>
        <w:bCs w:val="0"/>
        <w:sz w:val="24"/>
        <w:szCs w:val="24"/>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abstractNum w:abstractNumId="41" w15:restartNumberingAfterBreak="0">
    <w:nsid w:val="6FBE1B3B"/>
    <w:multiLevelType w:val="hybridMultilevel"/>
    <w:tmpl w:val="B9708250"/>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2" w15:restartNumberingAfterBreak="0">
    <w:nsid w:val="7306040E"/>
    <w:multiLevelType w:val="multilevel"/>
    <w:tmpl w:val="89C4901E"/>
    <w:lvl w:ilvl="0">
      <w:start w:val="1"/>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3" w15:restartNumberingAfterBreak="0">
    <w:nsid w:val="740B1853"/>
    <w:multiLevelType w:val="hybridMultilevel"/>
    <w:tmpl w:val="C480FB78"/>
    <w:lvl w:ilvl="0" w:tplc="0409000F">
      <w:start w:val="1"/>
      <w:numFmt w:val="decimal"/>
      <w:lvlText w:val="%1."/>
      <w:lvlJc w:val="left"/>
      <w:pPr>
        <w:ind w:left="1133" w:hanging="360"/>
      </w:pPr>
    </w:lvl>
    <w:lvl w:ilvl="1" w:tplc="04090019" w:tentative="1">
      <w:start w:val="1"/>
      <w:numFmt w:val="lowerLetter"/>
      <w:lvlText w:val="%2."/>
      <w:lvlJc w:val="left"/>
      <w:pPr>
        <w:ind w:left="1853" w:hanging="360"/>
      </w:pPr>
    </w:lvl>
    <w:lvl w:ilvl="2" w:tplc="0409001B" w:tentative="1">
      <w:start w:val="1"/>
      <w:numFmt w:val="lowerRoman"/>
      <w:lvlText w:val="%3."/>
      <w:lvlJc w:val="right"/>
      <w:pPr>
        <w:ind w:left="2573" w:hanging="180"/>
      </w:pPr>
    </w:lvl>
    <w:lvl w:ilvl="3" w:tplc="0409000F" w:tentative="1">
      <w:start w:val="1"/>
      <w:numFmt w:val="decimal"/>
      <w:lvlText w:val="%4."/>
      <w:lvlJc w:val="left"/>
      <w:pPr>
        <w:ind w:left="3293" w:hanging="360"/>
      </w:pPr>
    </w:lvl>
    <w:lvl w:ilvl="4" w:tplc="04090019" w:tentative="1">
      <w:start w:val="1"/>
      <w:numFmt w:val="lowerLetter"/>
      <w:lvlText w:val="%5."/>
      <w:lvlJc w:val="left"/>
      <w:pPr>
        <w:ind w:left="4013" w:hanging="360"/>
      </w:pPr>
    </w:lvl>
    <w:lvl w:ilvl="5" w:tplc="0409001B" w:tentative="1">
      <w:start w:val="1"/>
      <w:numFmt w:val="lowerRoman"/>
      <w:lvlText w:val="%6."/>
      <w:lvlJc w:val="right"/>
      <w:pPr>
        <w:ind w:left="4733" w:hanging="180"/>
      </w:pPr>
    </w:lvl>
    <w:lvl w:ilvl="6" w:tplc="0409000F" w:tentative="1">
      <w:start w:val="1"/>
      <w:numFmt w:val="decimal"/>
      <w:lvlText w:val="%7."/>
      <w:lvlJc w:val="left"/>
      <w:pPr>
        <w:ind w:left="5453" w:hanging="360"/>
      </w:pPr>
    </w:lvl>
    <w:lvl w:ilvl="7" w:tplc="04090019" w:tentative="1">
      <w:start w:val="1"/>
      <w:numFmt w:val="lowerLetter"/>
      <w:lvlText w:val="%8."/>
      <w:lvlJc w:val="left"/>
      <w:pPr>
        <w:ind w:left="6173" w:hanging="360"/>
      </w:pPr>
    </w:lvl>
    <w:lvl w:ilvl="8" w:tplc="0409001B" w:tentative="1">
      <w:start w:val="1"/>
      <w:numFmt w:val="lowerRoman"/>
      <w:lvlText w:val="%9."/>
      <w:lvlJc w:val="right"/>
      <w:pPr>
        <w:ind w:left="6893" w:hanging="180"/>
      </w:pPr>
    </w:lvl>
  </w:abstractNum>
  <w:abstractNum w:abstractNumId="44" w15:restartNumberingAfterBreak="0">
    <w:nsid w:val="74A11DBA"/>
    <w:multiLevelType w:val="multilevel"/>
    <w:tmpl w:val="74A11DBA"/>
    <w:lvl w:ilvl="0">
      <w:start w:val="1"/>
      <w:numFmt w:val="decimal"/>
      <w:lvlText w:val="%1"/>
      <w:lvlJc w:val="left"/>
      <w:pPr>
        <w:ind w:left="720" w:hanging="72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5" w15:restartNumberingAfterBreak="0">
    <w:nsid w:val="75300C0E"/>
    <w:multiLevelType w:val="hybridMultilevel"/>
    <w:tmpl w:val="38E6559A"/>
    <w:lvl w:ilvl="0" w:tplc="893066D8">
      <w:start w:val="1"/>
      <w:numFmt w:val="bullet"/>
      <w:lvlText w:val="•"/>
      <w:lvlJc w:val="left"/>
      <w:pPr>
        <w:tabs>
          <w:tab w:val="num" w:pos="720"/>
        </w:tabs>
        <w:ind w:left="720" w:hanging="360"/>
      </w:pPr>
      <w:rPr>
        <w:rFonts w:ascii="Times New Roman" w:hAnsi="Times New Roman" w:hint="default"/>
      </w:rPr>
    </w:lvl>
    <w:lvl w:ilvl="1" w:tplc="CD585F60" w:tentative="1">
      <w:start w:val="1"/>
      <w:numFmt w:val="bullet"/>
      <w:lvlText w:val="•"/>
      <w:lvlJc w:val="left"/>
      <w:pPr>
        <w:tabs>
          <w:tab w:val="num" w:pos="1440"/>
        </w:tabs>
        <w:ind w:left="1440" w:hanging="360"/>
      </w:pPr>
      <w:rPr>
        <w:rFonts w:ascii="Times New Roman" w:hAnsi="Times New Roman" w:hint="default"/>
      </w:rPr>
    </w:lvl>
    <w:lvl w:ilvl="2" w:tplc="745E94F2" w:tentative="1">
      <w:start w:val="1"/>
      <w:numFmt w:val="bullet"/>
      <w:lvlText w:val="•"/>
      <w:lvlJc w:val="left"/>
      <w:pPr>
        <w:tabs>
          <w:tab w:val="num" w:pos="2160"/>
        </w:tabs>
        <w:ind w:left="2160" w:hanging="360"/>
      </w:pPr>
      <w:rPr>
        <w:rFonts w:ascii="Times New Roman" w:hAnsi="Times New Roman" w:hint="default"/>
      </w:rPr>
    </w:lvl>
    <w:lvl w:ilvl="3" w:tplc="813E9548" w:tentative="1">
      <w:start w:val="1"/>
      <w:numFmt w:val="bullet"/>
      <w:lvlText w:val="•"/>
      <w:lvlJc w:val="left"/>
      <w:pPr>
        <w:tabs>
          <w:tab w:val="num" w:pos="2880"/>
        </w:tabs>
        <w:ind w:left="2880" w:hanging="360"/>
      </w:pPr>
      <w:rPr>
        <w:rFonts w:ascii="Times New Roman" w:hAnsi="Times New Roman" w:hint="default"/>
      </w:rPr>
    </w:lvl>
    <w:lvl w:ilvl="4" w:tplc="67EC1E1A" w:tentative="1">
      <w:start w:val="1"/>
      <w:numFmt w:val="bullet"/>
      <w:lvlText w:val="•"/>
      <w:lvlJc w:val="left"/>
      <w:pPr>
        <w:tabs>
          <w:tab w:val="num" w:pos="3600"/>
        </w:tabs>
        <w:ind w:left="3600" w:hanging="360"/>
      </w:pPr>
      <w:rPr>
        <w:rFonts w:ascii="Times New Roman" w:hAnsi="Times New Roman" w:hint="default"/>
      </w:rPr>
    </w:lvl>
    <w:lvl w:ilvl="5" w:tplc="3D86BD12" w:tentative="1">
      <w:start w:val="1"/>
      <w:numFmt w:val="bullet"/>
      <w:lvlText w:val="•"/>
      <w:lvlJc w:val="left"/>
      <w:pPr>
        <w:tabs>
          <w:tab w:val="num" w:pos="4320"/>
        </w:tabs>
        <w:ind w:left="4320" w:hanging="360"/>
      </w:pPr>
      <w:rPr>
        <w:rFonts w:ascii="Times New Roman" w:hAnsi="Times New Roman" w:hint="default"/>
      </w:rPr>
    </w:lvl>
    <w:lvl w:ilvl="6" w:tplc="CB0658B4" w:tentative="1">
      <w:start w:val="1"/>
      <w:numFmt w:val="bullet"/>
      <w:lvlText w:val="•"/>
      <w:lvlJc w:val="left"/>
      <w:pPr>
        <w:tabs>
          <w:tab w:val="num" w:pos="5040"/>
        </w:tabs>
        <w:ind w:left="5040" w:hanging="360"/>
      </w:pPr>
      <w:rPr>
        <w:rFonts w:ascii="Times New Roman" w:hAnsi="Times New Roman" w:hint="default"/>
      </w:rPr>
    </w:lvl>
    <w:lvl w:ilvl="7" w:tplc="42CA9B74" w:tentative="1">
      <w:start w:val="1"/>
      <w:numFmt w:val="bullet"/>
      <w:lvlText w:val="•"/>
      <w:lvlJc w:val="left"/>
      <w:pPr>
        <w:tabs>
          <w:tab w:val="num" w:pos="5760"/>
        </w:tabs>
        <w:ind w:left="5760" w:hanging="360"/>
      </w:pPr>
      <w:rPr>
        <w:rFonts w:ascii="Times New Roman" w:hAnsi="Times New Roman" w:hint="default"/>
      </w:rPr>
    </w:lvl>
    <w:lvl w:ilvl="8" w:tplc="2AD493D0" w:tentative="1">
      <w:start w:val="1"/>
      <w:numFmt w:val="bullet"/>
      <w:lvlText w:val="•"/>
      <w:lvlJc w:val="left"/>
      <w:pPr>
        <w:tabs>
          <w:tab w:val="num" w:pos="6480"/>
        </w:tabs>
        <w:ind w:left="6480" w:hanging="360"/>
      </w:pPr>
      <w:rPr>
        <w:rFonts w:ascii="Times New Roman" w:hAnsi="Times New Roman" w:hint="default"/>
      </w:rPr>
    </w:lvl>
  </w:abstractNum>
  <w:abstractNum w:abstractNumId="46" w15:restartNumberingAfterBreak="0">
    <w:nsid w:val="78A51F15"/>
    <w:multiLevelType w:val="multilevel"/>
    <w:tmpl w:val="5B9E54AC"/>
    <w:lvl w:ilvl="0">
      <w:start w:val="1"/>
      <w:numFmt w:val="decimal"/>
      <w:lvlText w:val="%1.0"/>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47" w15:restartNumberingAfterBreak="0">
    <w:nsid w:val="7971480A"/>
    <w:multiLevelType w:val="hybridMultilevel"/>
    <w:tmpl w:val="B9FA2696"/>
    <w:lvl w:ilvl="0" w:tplc="4409000F">
      <w:start w:val="1"/>
      <w:numFmt w:val="decimal"/>
      <w:lvlText w:val="%1."/>
      <w:lvlJc w:val="left"/>
      <w:pPr>
        <w:ind w:left="720" w:hanging="360"/>
      </w:pPr>
    </w:lvl>
    <w:lvl w:ilvl="1" w:tplc="44090019" w:tentative="1">
      <w:start w:val="1"/>
      <w:numFmt w:val="lowerLetter"/>
      <w:lvlText w:val="%2."/>
      <w:lvlJc w:val="left"/>
      <w:pPr>
        <w:ind w:left="1440" w:hanging="360"/>
      </w:pPr>
    </w:lvl>
    <w:lvl w:ilvl="2" w:tplc="4409001B" w:tentative="1">
      <w:start w:val="1"/>
      <w:numFmt w:val="lowerRoman"/>
      <w:lvlText w:val="%3."/>
      <w:lvlJc w:val="right"/>
      <w:pPr>
        <w:ind w:left="2160" w:hanging="180"/>
      </w:pPr>
    </w:lvl>
    <w:lvl w:ilvl="3" w:tplc="4409000F" w:tentative="1">
      <w:start w:val="1"/>
      <w:numFmt w:val="decimal"/>
      <w:lvlText w:val="%4."/>
      <w:lvlJc w:val="left"/>
      <w:pPr>
        <w:ind w:left="2880" w:hanging="360"/>
      </w:pPr>
    </w:lvl>
    <w:lvl w:ilvl="4" w:tplc="44090019" w:tentative="1">
      <w:start w:val="1"/>
      <w:numFmt w:val="lowerLetter"/>
      <w:lvlText w:val="%5."/>
      <w:lvlJc w:val="left"/>
      <w:pPr>
        <w:ind w:left="3600" w:hanging="360"/>
      </w:pPr>
    </w:lvl>
    <w:lvl w:ilvl="5" w:tplc="4409001B" w:tentative="1">
      <w:start w:val="1"/>
      <w:numFmt w:val="lowerRoman"/>
      <w:lvlText w:val="%6."/>
      <w:lvlJc w:val="right"/>
      <w:pPr>
        <w:ind w:left="4320" w:hanging="180"/>
      </w:pPr>
    </w:lvl>
    <w:lvl w:ilvl="6" w:tplc="4409000F" w:tentative="1">
      <w:start w:val="1"/>
      <w:numFmt w:val="decimal"/>
      <w:lvlText w:val="%7."/>
      <w:lvlJc w:val="left"/>
      <w:pPr>
        <w:ind w:left="5040" w:hanging="360"/>
      </w:pPr>
    </w:lvl>
    <w:lvl w:ilvl="7" w:tplc="44090019" w:tentative="1">
      <w:start w:val="1"/>
      <w:numFmt w:val="lowerLetter"/>
      <w:lvlText w:val="%8."/>
      <w:lvlJc w:val="left"/>
      <w:pPr>
        <w:ind w:left="5760" w:hanging="360"/>
      </w:pPr>
    </w:lvl>
    <w:lvl w:ilvl="8" w:tplc="4409001B" w:tentative="1">
      <w:start w:val="1"/>
      <w:numFmt w:val="lowerRoman"/>
      <w:lvlText w:val="%9."/>
      <w:lvlJc w:val="right"/>
      <w:pPr>
        <w:ind w:left="6480" w:hanging="180"/>
      </w:pPr>
    </w:lvl>
  </w:abstractNum>
  <w:abstractNum w:abstractNumId="48" w15:restartNumberingAfterBreak="0">
    <w:nsid w:val="7D57465B"/>
    <w:multiLevelType w:val="hybridMultilevel"/>
    <w:tmpl w:val="8682B596"/>
    <w:lvl w:ilvl="0" w:tplc="44090001">
      <w:start w:val="1"/>
      <w:numFmt w:val="bullet"/>
      <w:lvlText w:val=""/>
      <w:lvlJc w:val="left"/>
      <w:pPr>
        <w:ind w:left="1440" w:hanging="360"/>
      </w:pPr>
      <w:rPr>
        <w:rFonts w:ascii="Symbol" w:hAnsi="Symbol" w:hint="default"/>
      </w:rPr>
    </w:lvl>
    <w:lvl w:ilvl="1" w:tplc="44090003" w:tentative="1">
      <w:start w:val="1"/>
      <w:numFmt w:val="bullet"/>
      <w:lvlText w:val="o"/>
      <w:lvlJc w:val="left"/>
      <w:pPr>
        <w:ind w:left="2160" w:hanging="360"/>
      </w:pPr>
      <w:rPr>
        <w:rFonts w:ascii="Courier New" w:hAnsi="Courier New" w:cs="Courier New" w:hint="default"/>
      </w:rPr>
    </w:lvl>
    <w:lvl w:ilvl="2" w:tplc="44090005" w:tentative="1">
      <w:start w:val="1"/>
      <w:numFmt w:val="bullet"/>
      <w:lvlText w:val=""/>
      <w:lvlJc w:val="left"/>
      <w:pPr>
        <w:ind w:left="2880" w:hanging="360"/>
      </w:pPr>
      <w:rPr>
        <w:rFonts w:ascii="Wingdings" w:hAnsi="Wingdings" w:hint="default"/>
      </w:rPr>
    </w:lvl>
    <w:lvl w:ilvl="3" w:tplc="44090001" w:tentative="1">
      <w:start w:val="1"/>
      <w:numFmt w:val="bullet"/>
      <w:lvlText w:val=""/>
      <w:lvlJc w:val="left"/>
      <w:pPr>
        <w:ind w:left="3600" w:hanging="360"/>
      </w:pPr>
      <w:rPr>
        <w:rFonts w:ascii="Symbol" w:hAnsi="Symbol" w:hint="default"/>
      </w:rPr>
    </w:lvl>
    <w:lvl w:ilvl="4" w:tplc="44090003" w:tentative="1">
      <w:start w:val="1"/>
      <w:numFmt w:val="bullet"/>
      <w:lvlText w:val="o"/>
      <w:lvlJc w:val="left"/>
      <w:pPr>
        <w:ind w:left="4320" w:hanging="360"/>
      </w:pPr>
      <w:rPr>
        <w:rFonts w:ascii="Courier New" w:hAnsi="Courier New" w:cs="Courier New" w:hint="default"/>
      </w:rPr>
    </w:lvl>
    <w:lvl w:ilvl="5" w:tplc="44090005" w:tentative="1">
      <w:start w:val="1"/>
      <w:numFmt w:val="bullet"/>
      <w:lvlText w:val=""/>
      <w:lvlJc w:val="left"/>
      <w:pPr>
        <w:ind w:left="5040" w:hanging="360"/>
      </w:pPr>
      <w:rPr>
        <w:rFonts w:ascii="Wingdings" w:hAnsi="Wingdings" w:hint="default"/>
      </w:rPr>
    </w:lvl>
    <w:lvl w:ilvl="6" w:tplc="44090001" w:tentative="1">
      <w:start w:val="1"/>
      <w:numFmt w:val="bullet"/>
      <w:lvlText w:val=""/>
      <w:lvlJc w:val="left"/>
      <w:pPr>
        <w:ind w:left="5760" w:hanging="360"/>
      </w:pPr>
      <w:rPr>
        <w:rFonts w:ascii="Symbol" w:hAnsi="Symbol" w:hint="default"/>
      </w:rPr>
    </w:lvl>
    <w:lvl w:ilvl="7" w:tplc="44090003" w:tentative="1">
      <w:start w:val="1"/>
      <w:numFmt w:val="bullet"/>
      <w:lvlText w:val="o"/>
      <w:lvlJc w:val="left"/>
      <w:pPr>
        <w:ind w:left="6480" w:hanging="360"/>
      </w:pPr>
      <w:rPr>
        <w:rFonts w:ascii="Courier New" w:hAnsi="Courier New" w:cs="Courier New" w:hint="default"/>
      </w:rPr>
    </w:lvl>
    <w:lvl w:ilvl="8" w:tplc="44090005" w:tentative="1">
      <w:start w:val="1"/>
      <w:numFmt w:val="bullet"/>
      <w:lvlText w:val=""/>
      <w:lvlJc w:val="left"/>
      <w:pPr>
        <w:ind w:left="7200" w:hanging="360"/>
      </w:pPr>
      <w:rPr>
        <w:rFonts w:ascii="Wingdings" w:hAnsi="Wingdings" w:hint="default"/>
      </w:rPr>
    </w:lvl>
  </w:abstractNum>
  <w:abstractNum w:abstractNumId="49" w15:restartNumberingAfterBreak="0">
    <w:nsid w:val="7F774C07"/>
    <w:multiLevelType w:val="multilevel"/>
    <w:tmpl w:val="284E899C"/>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num w:numId="1" w16cid:durableId="262612910">
    <w:abstractNumId w:val="28"/>
  </w:num>
  <w:num w:numId="2" w16cid:durableId="294334686">
    <w:abstractNumId w:val="26"/>
  </w:num>
  <w:num w:numId="3" w16cid:durableId="1478647239">
    <w:abstractNumId w:val="43"/>
  </w:num>
  <w:num w:numId="4" w16cid:durableId="1768845884">
    <w:abstractNumId w:val="6"/>
  </w:num>
  <w:num w:numId="5" w16cid:durableId="223681770">
    <w:abstractNumId w:val="13"/>
  </w:num>
  <w:num w:numId="6" w16cid:durableId="632567129">
    <w:abstractNumId w:val="30"/>
  </w:num>
  <w:num w:numId="7" w16cid:durableId="1906334933">
    <w:abstractNumId w:val="39"/>
  </w:num>
  <w:num w:numId="8" w16cid:durableId="2127891281">
    <w:abstractNumId w:val="29"/>
  </w:num>
  <w:num w:numId="9" w16cid:durableId="607391680">
    <w:abstractNumId w:val="11"/>
  </w:num>
  <w:num w:numId="10" w16cid:durableId="96681384">
    <w:abstractNumId w:val="17"/>
  </w:num>
  <w:num w:numId="11" w16cid:durableId="705718581">
    <w:abstractNumId w:val="0"/>
  </w:num>
  <w:num w:numId="12" w16cid:durableId="1236628360">
    <w:abstractNumId w:val="33"/>
  </w:num>
  <w:num w:numId="13" w16cid:durableId="1814130121">
    <w:abstractNumId w:val="24"/>
  </w:num>
  <w:num w:numId="14" w16cid:durableId="372536402">
    <w:abstractNumId w:val="31"/>
  </w:num>
  <w:num w:numId="15" w16cid:durableId="988095376">
    <w:abstractNumId w:val="2"/>
  </w:num>
  <w:num w:numId="16" w16cid:durableId="1251885330">
    <w:abstractNumId w:val="3"/>
  </w:num>
  <w:num w:numId="17" w16cid:durableId="556741303">
    <w:abstractNumId w:val="25"/>
  </w:num>
  <w:num w:numId="18" w16cid:durableId="107772649">
    <w:abstractNumId w:val="34"/>
  </w:num>
  <w:num w:numId="19" w16cid:durableId="1552768415">
    <w:abstractNumId w:val="19"/>
  </w:num>
  <w:num w:numId="20" w16cid:durableId="2080865778">
    <w:abstractNumId w:val="22"/>
  </w:num>
  <w:num w:numId="21" w16cid:durableId="1091199177">
    <w:abstractNumId w:val="23"/>
  </w:num>
  <w:num w:numId="22" w16cid:durableId="464354932">
    <w:abstractNumId w:val="12"/>
  </w:num>
  <w:num w:numId="23" w16cid:durableId="923875164">
    <w:abstractNumId w:val="20"/>
  </w:num>
  <w:num w:numId="24" w16cid:durableId="863790274">
    <w:abstractNumId w:val="5"/>
  </w:num>
  <w:num w:numId="25" w16cid:durableId="340857587">
    <w:abstractNumId w:val="7"/>
  </w:num>
  <w:num w:numId="26" w16cid:durableId="1101608085">
    <w:abstractNumId w:val="27"/>
  </w:num>
  <w:num w:numId="27" w16cid:durableId="1993171932">
    <w:abstractNumId w:val="14"/>
  </w:num>
  <w:num w:numId="28" w16cid:durableId="522211870">
    <w:abstractNumId w:val="47"/>
  </w:num>
  <w:num w:numId="29" w16cid:durableId="368796938">
    <w:abstractNumId w:val="15"/>
  </w:num>
  <w:num w:numId="30" w16cid:durableId="470292093">
    <w:abstractNumId w:val="35"/>
  </w:num>
  <w:num w:numId="31" w16cid:durableId="736510630">
    <w:abstractNumId w:val="49"/>
  </w:num>
  <w:num w:numId="32" w16cid:durableId="614557939">
    <w:abstractNumId w:val="48"/>
  </w:num>
  <w:num w:numId="33" w16cid:durableId="1692686137">
    <w:abstractNumId w:val="37"/>
  </w:num>
  <w:num w:numId="34" w16cid:durableId="1499229346">
    <w:abstractNumId w:val="18"/>
  </w:num>
  <w:num w:numId="35" w16cid:durableId="2145923079">
    <w:abstractNumId w:val="21"/>
  </w:num>
  <w:num w:numId="36" w16cid:durableId="1013923141">
    <w:abstractNumId w:val="44"/>
  </w:num>
  <w:num w:numId="37" w16cid:durableId="1396784534">
    <w:abstractNumId w:val="46"/>
  </w:num>
  <w:num w:numId="38" w16cid:durableId="1723793435">
    <w:abstractNumId w:val="42"/>
  </w:num>
  <w:num w:numId="39" w16cid:durableId="918709004">
    <w:abstractNumId w:val="38"/>
  </w:num>
  <w:num w:numId="40" w16cid:durableId="564997419">
    <w:abstractNumId w:val="40"/>
  </w:num>
  <w:num w:numId="41" w16cid:durableId="145048045">
    <w:abstractNumId w:val="9"/>
  </w:num>
  <w:num w:numId="42" w16cid:durableId="1687899945">
    <w:abstractNumId w:val="32"/>
  </w:num>
  <w:num w:numId="43" w16cid:durableId="442959433">
    <w:abstractNumId w:val="8"/>
  </w:num>
  <w:num w:numId="44" w16cid:durableId="1540166476">
    <w:abstractNumId w:val="41"/>
  </w:num>
  <w:num w:numId="45" w16cid:durableId="1880244327">
    <w:abstractNumId w:val="16"/>
  </w:num>
  <w:num w:numId="46" w16cid:durableId="2104832947">
    <w:abstractNumId w:val="10"/>
  </w:num>
  <w:num w:numId="47" w16cid:durableId="96602524">
    <w:abstractNumId w:val="4"/>
  </w:num>
  <w:num w:numId="48" w16cid:durableId="1481114799">
    <w:abstractNumId w:val="45"/>
  </w:num>
  <w:num w:numId="49" w16cid:durableId="1610315227">
    <w:abstractNumId w:val="36"/>
  </w:num>
  <w:num w:numId="50" w16cid:durableId="189615598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proofState w:grammar="clean"/>
  <w:defaultTabStop w:val="720"/>
  <w:evenAndOddHeaders/>
  <w:drawingGridHorizontalSpacing w:val="12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C329A"/>
    <w:rsid w:val="00005E47"/>
    <w:rsid w:val="00013355"/>
    <w:rsid w:val="0001523C"/>
    <w:rsid w:val="000223AF"/>
    <w:rsid w:val="000260A2"/>
    <w:rsid w:val="000306AC"/>
    <w:rsid w:val="000406D6"/>
    <w:rsid w:val="00040F03"/>
    <w:rsid w:val="00051E1E"/>
    <w:rsid w:val="00054EDD"/>
    <w:rsid w:val="00072281"/>
    <w:rsid w:val="0007641C"/>
    <w:rsid w:val="000915E8"/>
    <w:rsid w:val="000920CA"/>
    <w:rsid w:val="000963F7"/>
    <w:rsid w:val="000A29C8"/>
    <w:rsid w:val="000A4D41"/>
    <w:rsid w:val="000B1494"/>
    <w:rsid w:val="000B67C2"/>
    <w:rsid w:val="000B7855"/>
    <w:rsid w:val="000C170E"/>
    <w:rsid w:val="000C41AE"/>
    <w:rsid w:val="000D0140"/>
    <w:rsid w:val="000D3707"/>
    <w:rsid w:val="000D563E"/>
    <w:rsid w:val="000D7CAA"/>
    <w:rsid w:val="000E2D66"/>
    <w:rsid w:val="000F34C8"/>
    <w:rsid w:val="000F4A4C"/>
    <w:rsid w:val="000F691D"/>
    <w:rsid w:val="0010000C"/>
    <w:rsid w:val="00104E1B"/>
    <w:rsid w:val="00107B41"/>
    <w:rsid w:val="001105FF"/>
    <w:rsid w:val="001149BA"/>
    <w:rsid w:val="0011679D"/>
    <w:rsid w:val="00126F35"/>
    <w:rsid w:val="001275E4"/>
    <w:rsid w:val="001440AE"/>
    <w:rsid w:val="00151F47"/>
    <w:rsid w:val="00157C7F"/>
    <w:rsid w:val="001601C7"/>
    <w:rsid w:val="00164A5A"/>
    <w:rsid w:val="00170E10"/>
    <w:rsid w:val="00176F30"/>
    <w:rsid w:val="00180092"/>
    <w:rsid w:val="00180510"/>
    <w:rsid w:val="001A1A2B"/>
    <w:rsid w:val="001A1E35"/>
    <w:rsid w:val="001A4DBF"/>
    <w:rsid w:val="001A5617"/>
    <w:rsid w:val="001B2A7C"/>
    <w:rsid w:val="001C1B41"/>
    <w:rsid w:val="001C2E04"/>
    <w:rsid w:val="001D431E"/>
    <w:rsid w:val="001F2B38"/>
    <w:rsid w:val="001F3BE3"/>
    <w:rsid w:val="001F3F7E"/>
    <w:rsid w:val="001F4595"/>
    <w:rsid w:val="001F79BC"/>
    <w:rsid w:val="00201037"/>
    <w:rsid w:val="00202A11"/>
    <w:rsid w:val="00204D04"/>
    <w:rsid w:val="0020567D"/>
    <w:rsid w:val="00206443"/>
    <w:rsid w:val="00207833"/>
    <w:rsid w:val="0022190F"/>
    <w:rsid w:val="00226EDF"/>
    <w:rsid w:val="00230C29"/>
    <w:rsid w:val="00233580"/>
    <w:rsid w:val="00240C47"/>
    <w:rsid w:val="00256602"/>
    <w:rsid w:val="00257A2D"/>
    <w:rsid w:val="002640E4"/>
    <w:rsid w:val="00265D5A"/>
    <w:rsid w:val="00271092"/>
    <w:rsid w:val="00276A5E"/>
    <w:rsid w:val="00282334"/>
    <w:rsid w:val="002856AC"/>
    <w:rsid w:val="0029359A"/>
    <w:rsid w:val="00293607"/>
    <w:rsid w:val="00293A07"/>
    <w:rsid w:val="00295070"/>
    <w:rsid w:val="002A1EEE"/>
    <w:rsid w:val="002B4B02"/>
    <w:rsid w:val="002C7360"/>
    <w:rsid w:val="002D560F"/>
    <w:rsid w:val="002D6E1D"/>
    <w:rsid w:val="002D72D4"/>
    <w:rsid w:val="002E0D4E"/>
    <w:rsid w:val="002F7369"/>
    <w:rsid w:val="0030155D"/>
    <w:rsid w:val="00306323"/>
    <w:rsid w:val="003067C2"/>
    <w:rsid w:val="003165A7"/>
    <w:rsid w:val="0031731D"/>
    <w:rsid w:val="00326745"/>
    <w:rsid w:val="00332243"/>
    <w:rsid w:val="003346AE"/>
    <w:rsid w:val="003456A4"/>
    <w:rsid w:val="00350812"/>
    <w:rsid w:val="00355D92"/>
    <w:rsid w:val="00355F91"/>
    <w:rsid w:val="003614F7"/>
    <w:rsid w:val="00363948"/>
    <w:rsid w:val="00364082"/>
    <w:rsid w:val="003647D5"/>
    <w:rsid w:val="003709BE"/>
    <w:rsid w:val="00372F30"/>
    <w:rsid w:val="00376EF2"/>
    <w:rsid w:val="00380A2F"/>
    <w:rsid w:val="00381C23"/>
    <w:rsid w:val="00382455"/>
    <w:rsid w:val="00383E4E"/>
    <w:rsid w:val="003855D1"/>
    <w:rsid w:val="003918CE"/>
    <w:rsid w:val="00396F30"/>
    <w:rsid w:val="0039789E"/>
    <w:rsid w:val="003A1C10"/>
    <w:rsid w:val="003A3164"/>
    <w:rsid w:val="003B162C"/>
    <w:rsid w:val="003B2DDA"/>
    <w:rsid w:val="003B3C0E"/>
    <w:rsid w:val="003D0C7F"/>
    <w:rsid w:val="003D55A5"/>
    <w:rsid w:val="003E1234"/>
    <w:rsid w:val="003E7692"/>
    <w:rsid w:val="003F3CDA"/>
    <w:rsid w:val="003F6A4F"/>
    <w:rsid w:val="003F6C99"/>
    <w:rsid w:val="003F7225"/>
    <w:rsid w:val="004048C6"/>
    <w:rsid w:val="0041403E"/>
    <w:rsid w:val="00422C03"/>
    <w:rsid w:val="00426979"/>
    <w:rsid w:val="00427FB6"/>
    <w:rsid w:val="0043323A"/>
    <w:rsid w:val="004371D5"/>
    <w:rsid w:val="0044135F"/>
    <w:rsid w:val="00453F70"/>
    <w:rsid w:val="004551B9"/>
    <w:rsid w:val="00456131"/>
    <w:rsid w:val="00457D46"/>
    <w:rsid w:val="004600F3"/>
    <w:rsid w:val="0046441E"/>
    <w:rsid w:val="004666FF"/>
    <w:rsid w:val="00472D1D"/>
    <w:rsid w:val="00475148"/>
    <w:rsid w:val="00476AC8"/>
    <w:rsid w:val="00485191"/>
    <w:rsid w:val="004864F9"/>
    <w:rsid w:val="0049200A"/>
    <w:rsid w:val="004A1D76"/>
    <w:rsid w:val="004A7B98"/>
    <w:rsid w:val="004B1AD7"/>
    <w:rsid w:val="004B66C8"/>
    <w:rsid w:val="004C0A63"/>
    <w:rsid w:val="004C2C9B"/>
    <w:rsid w:val="004C7A01"/>
    <w:rsid w:val="004D1630"/>
    <w:rsid w:val="004D16BA"/>
    <w:rsid w:val="004D4F6F"/>
    <w:rsid w:val="004E215B"/>
    <w:rsid w:val="004E6516"/>
    <w:rsid w:val="004E66EC"/>
    <w:rsid w:val="004F13E1"/>
    <w:rsid w:val="004F30AF"/>
    <w:rsid w:val="00501569"/>
    <w:rsid w:val="00504E7B"/>
    <w:rsid w:val="00505209"/>
    <w:rsid w:val="00506F85"/>
    <w:rsid w:val="00507B4B"/>
    <w:rsid w:val="00520779"/>
    <w:rsid w:val="00523BC8"/>
    <w:rsid w:val="00523C26"/>
    <w:rsid w:val="0052620B"/>
    <w:rsid w:val="005266BB"/>
    <w:rsid w:val="0053275F"/>
    <w:rsid w:val="005334C9"/>
    <w:rsid w:val="00535A21"/>
    <w:rsid w:val="00536580"/>
    <w:rsid w:val="005419EF"/>
    <w:rsid w:val="00545B41"/>
    <w:rsid w:val="005504AA"/>
    <w:rsid w:val="00562234"/>
    <w:rsid w:val="00567A5D"/>
    <w:rsid w:val="0057378A"/>
    <w:rsid w:val="00574E65"/>
    <w:rsid w:val="005826B1"/>
    <w:rsid w:val="00584413"/>
    <w:rsid w:val="005909FB"/>
    <w:rsid w:val="005A1DD5"/>
    <w:rsid w:val="005A2D66"/>
    <w:rsid w:val="005A5CB9"/>
    <w:rsid w:val="005A6C12"/>
    <w:rsid w:val="005B03B9"/>
    <w:rsid w:val="005C30FA"/>
    <w:rsid w:val="005D1E32"/>
    <w:rsid w:val="005D2809"/>
    <w:rsid w:val="005D4A08"/>
    <w:rsid w:val="005D5021"/>
    <w:rsid w:val="005E2B35"/>
    <w:rsid w:val="005E7E7F"/>
    <w:rsid w:val="005F54CA"/>
    <w:rsid w:val="005F7309"/>
    <w:rsid w:val="00604612"/>
    <w:rsid w:val="006052CD"/>
    <w:rsid w:val="006062ED"/>
    <w:rsid w:val="00610F2B"/>
    <w:rsid w:val="00611C3D"/>
    <w:rsid w:val="006131AF"/>
    <w:rsid w:val="0062427E"/>
    <w:rsid w:val="00627293"/>
    <w:rsid w:val="00646B10"/>
    <w:rsid w:val="00657C3C"/>
    <w:rsid w:val="0066059F"/>
    <w:rsid w:val="00661DD6"/>
    <w:rsid w:val="0067168C"/>
    <w:rsid w:val="00675637"/>
    <w:rsid w:val="0067774A"/>
    <w:rsid w:val="00677894"/>
    <w:rsid w:val="00682225"/>
    <w:rsid w:val="00686F7E"/>
    <w:rsid w:val="006952A4"/>
    <w:rsid w:val="006B0E1B"/>
    <w:rsid w:val="006B276F"/>
    <w:rsid w:val="006B5127"/>
    <w:rsid w:val="006C4CEC"/>
    <w:rsid w:val="006D26F0"/>
    <w:rsid w:val="006E03B5"/>
    <w:rsid w:val="006E0786"/>
    <w:rsid w:val="006E08DF"/>
    <w:rsid w:val="006F0821"/>
    <w:rsid w:val="006F6DDA"/>
    <w:rsid w:val="00703137"/>
    <w:rsid w:val="00703C22"/>
    <w:rsid w:val="00707B22"/>
    <w:rsid w:val="00720BCB"/>
    <w:rsid w:val="00723167"/>
    <w:rsid w:val="007252D7"/>
    <w:rsid w:val="00726F38"/>
    <w:rsid w:val="00741E4D"/>
    <w:rsid w:val="0074679B"/>
    <w:rsid w:val="0075590F"/>
    <w:rsid w:val="00756C80"/>
    <w:rsid w:val="00763BEF"/>
    <w:rsid w:val="00763FFE"/>
    <w:rsid w:val="00765648"/>
    <w:rsid w:val="00766FF4"/>
    <w:rsid w:val="0078449E"/>
    <w:rsid w:val="00786287"/>
    <w:rsid w:val="0078629F"/>
    <w:rsid w:val="007874F8"/>
    <w:rsid w:val="0079050E"/>
    <w:rsid w:val="007A44FE"/>
    <w:rsid w:val="007A60AF"/>
    <w:rsid w:val="007B6378"/>
    <w:rsid w:val="007B734B"/>
    <w:rsid w:val="007C001F"/>
    <w:rsid w:val="007C46E1"/>
    <w:rsid w:val="007D602F"/>
    <w:rsid w:val="007E4438"/>
    <w:rsid w:val="007E53FE"/>
    <w:rsid w:val="007E6C5C"/>
    <w:rsid w:val="007F1125"/>
    <w:rsid w:val="007F2DC2"/>
    <w:rsid w:val="007F2FFF"/>
    <w:rsid w:val="008040CD"/>
    <w:rsid w:val="0081412F"/>
    <w:rsid w:val="00816B7C"/>
    <w:rsid w:val="00825D11"/>
    <w:rsid w:val="008266BB"/>
    <w:rsid w:val="00831995"/>
    <w:rsid w:val="00832E69"/>
    <w:rsid w:val="00834092"/>
    <w:rsid w:val="00834A79"/>
    <w:rsid w:val="00836CE8"/>
    <w:rsid w:val="008413F2"/>
    <w:rsid w:val="00842939"/>
    <w:rsid w:val="008479FE"/>
    <w:rsid w:val="008567E2"/>
    <w:rsid w:val="00861175"/>
    <w:rsid w:val="00862062"/>
    <w:rsid w:val="008635A4"/>
    <w:rsid w:val="00867545"/>
    <w:rsid w:val="00870AEA"/>
    <w:rsid w:val="00877DFF"/>
    <w:rsid w:val="008817E6"/>
    <w:rsid w:val="00882685"/>
    <w:rsid w:val="008877D7"/>
    <w:rsid w:val="008913CF"/>
    <w:rsid w:val="008A0201"/>
    <w:rsid w:val="008A770F"/>
    <w:rsid w:val="008B41ED"/>
    <w:rsid w:val="008B4300"/>
    <w:rsid w:val="008B6CB3"/>
    <w:rsid w:val="008C168A"/>
    <w:rsid w:val="008C3572"/>
    <w:rsid w:val="008C3F8C"/>
    <w:rsid w:val="008C56A3"/>
    <w:rsid w:val="008D3480"/>
    <w:rsid w:val="008E08C7"/>
    <w:rsid w:val="008F0B03"/>
    <w:rsid w:val="00906E3D"/>
    <w:rsid w:val="00910260"/>
    <w:rsid w:val="009108D1"/>
    <w:rsid w:val="009172AB"/>
    <w:rsid w:val="009238E9"/>
    <w:rsid w:val="0092758B"/>
    <w:rsid w:val="00934A4C"/>
    <w:rsid w:val="00936C6B"/>
    <w:rsid w:val="00937BAA"/>
    <w:rsid w:val="00940C44"/>
    <w:rsid w:val="00944C6E"/>
    <w:rsid w:val="00946BD9"/>
    <w:rsid w:val="00947FFC"/>
    <w:rsid w:val="009503B5"/>
    <w:rsid w:val="00960A95"/>
    <w:rsid w:val="00966505"/>
    <w:rsid w:val="00971581"/>
    <w:rsid w:val="009728E9"/>
    <w:rsid w:val="00976B9C"/>
    <w:rsid w:val="009817DF"/>
    <w:rsid w:val="009825E8"/>
    <w:rsid w:val="00985CA3"/>
    <w:rsid w:val="00986069"/>
    <w:rsid w:val="00992F31"/>
    <w:rsid w:val="009A2881"/>
    <w:rsid w:val="009A72E1"/>
    <w:rsid w:val="009B2033"/>
    <w:rsid w:val="009C51E6"/>
    <w:rsid w:val="009C6B66"/>
    <w:rsid w:val="009C7724"/>
    <w:rsid w:val="009C7C74"/>
    <w:rsid w:val="009D6CD5"/>
    <w:rsid w:val="009D757C"/>
    <w:rsid w:val="009D7E64"/>
    <w:rsid w:val="009E1E9C"/>
    <w:rsid w:val="009E35B4"/>
    <w:rsid w:val="009E4295"/>
    <w:rsid w:val="009E47A2"/>
    <w:rsid w:val="009F1889"/>
    <w:rsid w:val="009F681E"/>
    <w:rsid w:val="00A0122C"/>
    <w:rsid w:val="00A0560A"/>
    <w:rsid w:val="00A11A21"/>
    <w:rsid w:val="00A136F3"/>
    <w:rsid w:val="00A15611"/>
    <w:rsid w:val="00A209E5"/>
    <w:rsid w:val="00A23E19"/>
    <w:rsid w:val="00A2666E"/>
    <w:rsid w:val="00A27CB9"/>
    <w:rsid w:val="00A301DE"/>
    <w:rsid w:val="00A34061"/>
    <w:rsid w:val="00A37B13"/>
    <w:rsid w:val="00A37DE1"/>
    <w:rsid w:val="00A43E19"/>
    <w:rsid w:val="00A469DA"/>
    <w:rsid w:val="00A46ED3"/>
    <w:rsid w:val="00A50269"/>
    <w:rsid w:val="00A56AA6"/>
    <w:rsid w:val="00A600E2"/>
    <w:rsid w:val="00A6338E"/>
    <w:rsid w:val="00A659D4"/>
    <w:rsid w:val="00A72A6E"/>
    <w:rsid w:val="00A75C0C"/>
    <w:rsid w:val="00A81B3D"/>
    <w:rsid w:val="00A8281D"/>
    <w:rsid w:val="00A83B4F"/>
    <w:rsid w:val="00A85540"/>
    <w:rsid w:val="00A93181"/>
    <w:rsid w:val="00A9465C"/>
    <w:rsid w:val="00AA4351"/>
    <w:rsid w:val="00AA4A79"/>
    <w:rsid w:val="00AA6391"/>
    <w:rsid w:val="00AB3DCD"/>
    <w:rsid w:val="00AB4134"/>
    <w:rsid w:val="00AC329A"/>
    <w:rsid w:val="00AC7184"/>
    <w:rsid w:val="00AC7348"/>
    <w:rsid w:val="00AD2215"/>
    <w:rsid w:val="00AD55FD"/>
    <w:rsid w:val="00AD7FA4"/>
    <w:rsid w:val="00AE289A"/>
    <w:rsid w:val="00AE2A46"/>
    <w:rsid w:val="00AF2464"/>
    <w:rsid w:val="00B05DDF"/>
    <w:rsid w:val="00B11CA0"/>
    <w:rsid w:val="00B11DE7"/>
    <w:rsid w:val="00B16AD4"/>
    <w:rsid w:val="00B16DE6"/>
    <w:rsid w:val="00B17943"/>
    <w:rsid w:val="00B17BC8"/>
    <w:rsid w:val="00B20CFD"/>
    <w:rsid w:val="00B24386"/>
    <w:rsid w:val="00B31BF6"/>
    <w:rsid w:val="00B327B6"/>
    <w:rsid w:val="00B45EFA"/>
    <w:rsid w:val="00B46453"/>
    <w:rsid w:val="00B46C7E"/>
    <w:rsid w:val="00B47E5C"/>
    <w:rsid w:val="00B52E2F"/>
    <w:rsid w:val="00B57D9D"/>
    <w:rsid w:val="00B617DC"/>
    <w:rsid w:val="00B63387"/>
    <w:rsid w:val="00B674E5"/>
    <w:rsid w:val="00B71BAA"/>
    <w:rsid w:val="00B71DA0"/>
    <w:rsid w:val="00B7433B"/>
    <w:rsid w:val="00B77DDE"/>
    <w:rsid w:val="00B8412C"/>
    <w:rsid w:val="00B948C2"/>
    <w:rsid w:val="00B94B1E"/>
    <w:rsid w:val="00B95074"/>
    <w:rsid w:val="00BA5C63"/>
    <w:rsid w:val="00BB7CDF"/>
    <w:rsid w:val="00BC07BC"/>
    <w:rsid w:val="00BC31A7"/>
    <w:rsid w:val="00BD4DD7"/>
    <w:rsid w:val="00BD679A"/>
    <w:rsid w:val="00BD720B"/>
    <w:rsid w:val="00BD729C"/>
    <w:rsid w:val="00BE10F4"/>
    <w:rsid w:val="00BE2AFC"/>
    <w:rsid w:val="00BE3DD2"/>
    <w:rsid w:val="00BE4EB5"/>
    <w:rsid w:val="00BE7F48"/>
    <w:rsid w:val="00BF3078"/>
    <w:rsid w:val="00BF3F04"/>
    <w:rsid w:val="00C004AD"/>
    <w:rsid w:val="00C0106E"/>
    <w:rsid w:val="00C07124"/>
    <w:rsid w:val="00C07577"/>
    <w:rsid w:val="00C121AC"/>
    <w:rsid w:val="00C12DD1"/>
    <w:rsid w:val="00C20724"/>
    <w:rsid w:val="00C20E0E"/>
    <w:rsid w:val="00C240DD"/>
    <w:rsid w:val="00C27903"/>
    <w:rsid w:val="00C3419D"/>
    <w:rsid w:val="00C3752E"/>
    <w:rsid w:val="00C43734"/>
    <w:rsid w:val="00C44067"/>
    <w:rsid w:val="00C60FE4"/>
    <w:rsid w:val="00C625DB"/>
    <w:rsid w:val="00C64126"/>
    <w:rsid w:val="00C74B21"/>
    <w:rsid w:val="00C76EDE"/>
    <w:rsid w:val="00C76F58"/>
    <w:rsid w:val="00C90766"/>
    <w:rsid w:val="00CA25D7"/>
    <w:rsid w:val="00CA37C6"/>
    <w:rsid w:val="00CA5400"/>
    <w:rsid w:val="00CA57FA"/>
    <w:rsid w:val="00CB7B36"/>
    <w:rsid w:val="00CC0451"/>
    <w:rsid w:val="00CC05B0"/>
    <w:rsid w:val="00CC300C"/>
    <w:rsid w:val="00CC36F6"/>
    <w:rsid w:val="00CC5324"/>
    <w:rsid w:val="00CC5D44"/>
    <w:rsid w:val="00CC6954"/>
    <w:rsid w:val="00CD614C"/>
    <w:rsid w:val="00CE26E1"/>
    <w:rsid w:val="00CE2D34"/>
    <w:rsid w:val="00CE629B"/>
    <w:rsid w:val="00CF3300"/>
    <w:rsid w:val="00CF6A88"/>
    <w:rsid w:val="00D06854"/>
    <w:rsid w:val="00D07063"/>
    <w:rsid w:val="00D10514"/>
    <w:rsid w:val="00D1397A"/>
    <w:rsid w:val="00D141C4"/>
    <w:rsid w:val="00D2795A"/>
    <w:rsid w:val="00D27A29"/>
    <w:rsid w:val="00D338F6"/>
    <w:rsid w:val="00D33B8F"/>
    <w:rsid w:val="00D340DB"/>
    <w:rsid w:val="00D427FB"/>
    <w:rsid w:val="00D4480D"/>
    <w:rsid w:val="00D44DBC"/>
    <w:rsid w:val="00D45444"/>
    <w:rsid w:val="00D50470"/>
    <w:rsid w:val="00D54620"/>
    <w:rsid w:val="00D70098"/>
    <w:rsid w:val="00D9019B"/>
    <w:rsid w:val="00D90FBE"/>
    <w:rsid w:val="00D92586"/>
    <w:rsid w:val="00D946C3"/>
    <w:rsid w:val="00DA3285"/>
    <w:rsid w:val="00DA34B0"/>
    <w:rsid w:val="00DB4CFC"/>
    <w:rsid w:val="00DB7872"/>
    <w:rsid w:val="00DB79B2"/>
    <w:rsid w:val="00DB7BDC"/>
    <w:rsid w:val="00DC0E78"/>
    <w:rsid w:val="00DC1390"/>
    <w:rsid w:val="00DC6A51"/>
    <w:rsid w:val="00DD020A"/>
    <w:rsid w:val="00DD5011"/>
    <w:rsid w:val="00DD5342"/>
    <w:rsid w:val="00DE2958"/>
    <w:rsid w:val="00DE4084"/>
    <w:rsid w:val="00DE4B37"/>
    <w:rsid w:val="00DF1E46"/>
    <w:rsid w:val="00DF259B"/>
    <w:rsid w:val="00DF575E"/>
    <w:rsid w:val="00DF5CDF"/>
    <w:rsid w:val="00DF6CDC"/>
    <w:rsid w:val="00E00CBD"/>
    <w:rsid w:val="00E062FA"/>
    <w:rsid w:val="00E06C09"/>
    <w:rsid w:val="00E1447E"/>
    <w:rsid w:val="00E26384"/>
    <w:rsid w:val="00E27E94"/>
    <w:rsid w:val="00E364A8"/>
    <w:rsid w:val="00E438C5"/>
    <w:rsid w:val="00E47F8A"/>
    <w:rsid w:val="00E6395E"/>
    <w:rsid w:val="00E76A94"/>
    <w:rsid w:val="00E907E4"/>
    <w:rsid w:val="00E9467C"/>
    <w:rsid w:val="00EA0466"/>
    <w:rsid w:val="00EB7729"/>
    <w:rsid w:val="00EC3D0D"/>
    <w:rsid w:val="00EC5BE1"/>
    <w:rsid w:val="00ED396E"/>
    <w:rsid w:val="00ED444D"/>
    <w:rsid w:val="00ED5819"/>
    <w:rsid w:val="00ED7AC0"/>
    <w:rsid w:val="00EE0962"/>
    <w:rsid w:val="00EE1AB8"/>
    <w:rsid w:val="00EE30CF"/>
    <w:rsid w:val="00EF2E11"/>
    <w:rsid w:val="00EF39FA"/>
    <w:rsid w:val="00EF6C0F"/>
    <w:rsid w:val="00F048F9"/>
    <w:rsid w:val="00F10441"/>
    <w:rsid w:val="00F10A09"/>
    <w:rsid w:val="00F12150"/>
    <w:rsid w:val="00F131FF"/>
    <w:rsid w:val="00F14D18"/>
    <w:rsid w:val="00F262D0"/>
    <w:rsid w:val="00F34CCF"/>
    <w:rsid w:val="00F362D6"/>
    <w:rsid w:val="00F41059"/>
    <w:rsid w:val="00F5370D"/>
    <w:rsid w:val="00F61649"/>
    <w:rsid w:val="00F824A4"/>
    <w:rsid w:val="00F833CF"/>
    <w:rsid w:val="00F83712"/>
    <w:rsid w:val="00FA0930"/>
    <w:rsid w:val="00FA0EE0"/>
    <w:rsid w:val="00FA3D49"/>
    <w:rsid w:val="00FA5631"/>
    <w:rsid w:val="00FA5649"/>
    <w:rsid w:val="00FA6859"/>
    <w:rsid w:val="00FB1A6B"/>
    <w:rsid w:val="00FB3372"/>
    <w:rsid w:val="00FB3FF9"/>
    <w:rsid w:val="00FC1F1D"/>
    <w:rsid w:val="00FC4709"/>
    <w:rsid w:val="00FC6659"/>
    <w:rsid w:val="00FE0522"/>
    <w:rsid w:val="00FE2626"/>
    <w:rsid w:val="00FE4094"/>
    <w:rsid w:val="00FF09B5"/>
    <w:rsid w:val="00FF2425"/>
    <w:rsid w:val="00FF32E1"/>
    <w:rsid w:val="00FF3CC1"/>
    <w:rsid w:val="00FF61E5"/>
  </w:rsids>
  <m:mathPr>
    <m:mathFont m:val="Cambria Math"/>
    <m:brkBin m:val="before"/>
    <m:brkBinSub m:val="--"/>
    <m:smallFrac/>
    <m:dispDef/>
    <m:lMargin m:val="0"/>
    <m:rMargin m:val="0"/>
    <m:defJc m:val="centerGroup"/>
    <m:wrapIndent m:val="1440"/>
    <m:intLim m:val="subSup"/>
    <m:naryLim m:val="undOvr"/>
  </m:mathPr>
  <w:themeFontLang w:val="en-IN" w:bidi="bn-I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9AC15D4"/>
  <w15:docId w15:val="{40124CE6-45BE-46C9-8C26-AA059915E5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4"/>
        <w:szCs w:val="24"/>
        <w:lang w:val="en-IN"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77172"/>
    <w:rPr>
      <w:rFonts w:eastAsia="SimSun"/>
      <w:lang w:val="en-AU" w:eastAsia="zh-CN"/>
    </w:rPr>
  </w:style>
  <w:style w:type="paragraph" w:styleId="Heading1">
    <w:name w:val="heading 1"/>
    <w:basedOn w:val="Normal"/>
    <w:link w:val="Heading1Char"/>
    <w:uiPriority w:val="9"/>
    <w:qFormat/>
    <w:rsid w:val="005B6363"/>
    <w:pPr>
      <w:spacing w:before="100" w:beforeAutospacing="1" w:after="100" w:afterAutospacing="1"/>
      <w:outlineLvl w:val="0"/>
    </w:pPr>
    <w:rPr>
      <w:rFonts w:eastAsia="Times New Roman"/>
      <w:b/>
      <w:bCs/>
      <w:kern w:val="36"/>
      <w:sz w:val="48"/>
      <w:szCs w:val="48"/>
      <w:lang w:val="en-US" w:eastAsia="en-US"/>
    </w:rPr>
  </w:style>
  <w:style w:type="paragraph" w:styleId="Heading2">
    <w:name w:val="heading 2"/>
    <w:basedOn w:val="Normal"/>
    <w:link w:val="Heading2Char"/>
    <w:uiPriority w:val="9"/>
    <w:qFormat/>
    <w:rsid w:val="005B6363"/>
    <w:pPr>
      <w:spacing w:before="100" w:beforeAutospacing="1" w:after="100" w:afterAutospacing="1"/>
      <w:outlineLvl w:val="1"/>
    </w:pPr>
    <w:rPr>
      <w:rFonts w:eastAsia="Times New Roman"/>
      <w:b/>
      <w:bCs/>
      <w:sz w:val="36"/>
      <w:szCs w:val="36"/>
      <w:lang w:val="en-US" w:eastAsia="en-US"/>
    </w:rPr>
  </w:style>
  <w:style w:type="paragraph" w:styleId="Heading3">
    <w:name w:val="heading 3"/>
    <w:basedOn w:val="Normal1"/>
    <w:next w:val="Normal1"/>
    <w:link w:val="Heading3Char"/>
    <w:uiPriority w:val="9"/>
    <w:qFormat/>
    <w:rsid w:val="00AC329A"/>
    <w:pPr>
      <w:keepNext/>
      <w:keepLines/>
      <w:spacing w:before="280" w:after="80"/>
      <w:outlineLvl w:val="2"/>
    </w:pPr>
    <w:rPr>
      <w:b/>
      <w:sz w:val="28"/>
      <w:szCs w:val="28"/>
    </w:rPr>
  </w:style>
  <w:style w:type="paragraph" w:styleId="Heading4">
    <w:name w:val="heading 4"/>
    <w:basedOn w:val="Normal1"/>
    <w:next w:val="Normal1"/>
    <w:link w:val="Heading4Char"/>
    <w:uiPriority w:val="9"/>
    <w:qFormat/>
    <w:rsid w:val="00AC329A"/>
    <w:pPr>
      <w:keepNext/>
      <w:keepLines/>
      <w:spacing w:before="240" w:after="40"/>
      <w:outlineLvl w:val="3"/>
    </w:pPr>
    <w:rPr>
      <w:b/>
    </w:rPr>
  </w:style>
  <w:style w:type="paragraph" w:styleId="Heading5">
    <w:name w:val="heading 5"/>
    <w:basedOn w:val="Normal1"/>
    <w:next w:val="Normal1"/>
    <w:link w:val="Heading5Char"/>
    <w:uiPriority w:val="9"/>
    <w:qFormat/>
    <w:rsid w:val="00AC329A"/>
    <w:pPr>
      <w:keepNext/>
      <w:keepLines/>
      <w:spacing w:before="220" w:after="40"/>
      <w:outlineLvl w:val="4"/>
    </w:pPr>
    <w:rPr>
      <w:b/>
      <w:sz w:val="22"/>
      <w:szCs w:val="22"/>
    </w:rPr>
  </w:style>
  <w:style w:type="paragraph" w:styleId="Heading6">
    <w:name w:val="heading 6"/>
    <w:basedOn w:val="Normal1"/>
    <w:next w:val="Normal1"/>
    <w:link w:val="Heading6Char"/>
    <w:uiPriority w:val="9"/>
    <w:qFormat/>
    <w:rsid w:val="00AC329A"/>
    <w:pPr>
      <w:keepNext/>
      <w:keepLines/>
      <w:spacing w:before="200" w:after="40"/>
      <w:outlineLvl w:val="5"/>
    </w:pPr>
    <w:rPr>
      <w:b/>
      <w:sz w:val="20"/>
      <w:szCs w:val="20"/>
    </w:rPr>
  </w:style>
  <w:style w:type="paragraph" w:styleId="Heading7">
    <w:name w:val="heading 7"/>
    <w:basedOn w:val="Normal"/>
    <w:next w:val="Normal"/>
    <w:link w:val="Heading7Char"/>
    <w:uiPriority w:val="9"/>
    <w:semiHidden/>
    <w:unhideWhenUsed/>
    <w:qFormat/>
    <w:rsid w:val="00DE4084"/>
    <w:pPr>
      <w:keepNext/>
      <w:keepLines/>
      <w:spacing w:before="40" w:line="276" w:lineRule="auto"/>
      <w:outlineLvl w:val="6"/>
    </w:pPr>
    <w:rPr>
      <w:rFonts w:asciiTheme="minorHAnsi" w:eastAsiaTheme="majorEastAsia" w:hAnsiTheme="minorHAnsi" w:cstheme="majorBidi"/>
      <w:color w:val="595959" w:themeColor="text1" w:themeTint="A6"/>
      <w:sz w:val="22"/>
      <w:szCs w:val="22"/>
      <w:lang w:val="en-MY"/>
    </w:rPr>
  </w:style>
  <w:style w:type="paragraph" w:styleId="Heading8">
    <w:name w:val="heading 8"/>
    <w:basedOn w:val="Normal"/>
    <w:next w:val="Normal"/>
    <w:link w:val="Heading8Char"/>
    <w:uiPriority w:val="9"/>
    <w:semiHidden/>
    <w:unhideWhenUsed/>
    <w:qFormat/>
    <w:rsid w:val="00DE4084"/>
    <w:pPr>
      <w:keepNext/>
      <w:keepLines/>
      <w:spacing w:line="276" w:lineRule="auto"/>
      <w:outlineLvl w:val="7"/>
    </w:pPr>
    <w:rPr>
      <w:rFonts w:asciiTheme="minorHAnsi" w:eastAsiaTheme="majorEastAsia" w:hAnsiTheme="minorHAnsi" w:cstheme="majorBidi"/>
      <w:i/>
      <w:iCs/>
      <w:color w:val="272727" w:themeColor="text1" w:themeTint="D8"/>
      <w:sz w:val="22"/>
      <w:szCs w:val="22"/>
      <w:lang w:val="en-MY"/>
    </w:rPr>
  </w:style>
  <w:style w:type="paragraph" w:styleId="Heading9">
    <w:name w:val="heading 9"/>
    <w:basedOn w:val="Normal"/>
    <w:next w:val="Normal"/>
    <w:link w:val="Heading9Char"/>
    <w:uiPriority w:val="9"/>
    <w:semiHidden/>
    <w:unhideWhenUsed/>
    <w:qFormat/>
    <w:rsid w:val="00DE4084"/>
    <w:pPr>
      <w:keepNext/>
      <w:keepLines/>
      <w:spacing w:line="276" w:lineRule="auto"/>
      <w:outlineLvl w:val="8"/>
    </w:pPr>
    <w:rPr>
      <w:rFonts w:asciiTheme="minorHAnsi" w:eastAsiaTheme="majorEastAsia" w:hAnsiTheme="minorHAnsi" w:cstheme="majorBidi"/>
      <w:color w:val="272727" w:themeColor="text1" w:themeTint="D8"/>
      <w:sz w:val="22"/>
      <w:szCs w:val="22"/>
      <w:lang w:val="en-MY"/>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Normal1">
    <w:name w:val="Normal1"/>
    <w:rsid w:val="00AC329A"/>
  </w:style>
  <w:style w:type="paragraph" w:styleId="Title">
    <w:name w:val="Title"/>
    <w:basedOn w:val="Normal1"/>
    <w:next w:val="Normal1"/>
    <w:link w:val="TitleChar"/>
    <w:uiPriority w:val="10"/>
    <w:qFormat/>
    <w:rsid w:val="00AC329A"/>
    <w:pPr>
      <w:keepNext/>
      <w:keepLines/>
      <w:spacing w:before="480" w:after="120"/>
    </w:pPr>
    <w:rPr>
      <w:b/>
      <w:sz w:val="72"/>
      <w:szCs w:val="72"/>
    </w:rPr>
  </w:style>
  <w:style w:type="character" w:customStyle="1" w:styleId="Heading1Char">
    <w:name w:val="Heading 1 Char"/>
    <w:basedOn w:val="DefaultParagraphFont"/>
    <w:link w:val="Heading1"/>
    <w:uiPriority w:val="9"/>
    <w:rsid w:val="005B6363"/>
    <w:rPr>
      <w:rFonts w:ascii="Times New Roman" w:eastAsia="Times New Roman" w:hAnsi="Times New Roman" w:cs="Times New Roman"/>
      <w:b/>
      <w:bCs/>
      <w:kern w:val="36"/>
      <w:sz w:val="48"/>
      <w:szCs w:val="48"/>
    </w:rPr>
  </w:style>
  <w:style w:type="character" w:customStyle="1" w:styleId="Heading2Char">
    <w:name w:val="Heading 2 Char"/>
    <w:basedOn w:val="DefaultParagraphFont"/>
    <w:link w:val="Heading2"/>
    <w:uiPriority w:val="9"/>
    <w:rsid w:val="005B6363"/>
    <w:rPr>
      <w:rFonts w:ascii="Times New Roman" w:eastAsia="Times New Roman" w:hAnsi="Times New Roman" w:cs="Times New Roman"/>
      <w:b/>
      <w:bCs/>
      <w:sz w:val="36"/>
      <w:szCs w:val="36"/>
    </w:rPr>
  </w:style>
  <w:style w:type="paragraph" w:styleId="Header">
    <w:name w:val="header"/>
    <w:basedOn w:val="Normal"/>
    <w:link w:val="HeaderChar"/>
    <w:uiPriority w:val="99"/>
    <w:unhideWhenUsed/>
    <w:rsid w:val="00077172"/>
    <w:pPr>
      <w:tabs>
        <w:tab w:val="center" w:pos="4680"/>
        <w:tab w:val="right" w:pos="9360"/>
      </w:tabs>
    </w:pPr>
  </w:style>
  <w:style w:type="character" w:customStyle="1" w:styleId="HeaderChar">
    <w:name w:val="Header Char"/>
    <w:basedOn w:val="DefaultParagraphFont"/>
    <w:link w:val="Header"/>
    <w:uiPriority w:val="99"/>
    <w:rsid w:val="00077172"/>
    <w:rPr>
      <w:rFonts w:ascii="Times New Roman" w:eastAsia="SimSun" w:hAnsi="Times New Roman" w:cs="Times New Roman"/>
      <w:sz w:val="24"/>
      <w:szCs w:val="24"/>
      <w:lang w:val="en-AU" w:eastAsia="zh-CN"/>
    </w:rPr>
  </w:style>
  <w:style w:type="paragraph" w:styleId="Footer">
    <w:name w:val="footer"/>
    <w:basedOn w:val="Normal"/>
    <w:link w:val="FooterChar"/>
    <w:uiPriority w:val="99"/>
    <w:unhideWhenUsed/>
    <w:rsid w:val="00077172"/>
    <w:pPr>
      <w:tabs>
        <w:tab w:val="center" w:pos="4680"/>
        <w:tab w:val="right" w:pos="9360"/>
      </w:tabs>
    </w:pPr>
  </w:style>
  <w:style w:type="character" w:customStyle="1" w:styleId="FooterChar">
    <w:name w:val="Footer Char"/>
    <w:basedOn w:val="DefaultParagraphFont"/>
    <w:link w:val="Footer"/>
    <w:uiPriority w:val="99"/>
    <w:rsid w:val="00077172"/>
    <w:rPr>
      <w:rFonts w:ascii="Times New Roman" w:eastAsia="SimSun" w:hAnsi="Times New Roman" w:cs="Times New Roman"/>
      <w:sz w:val="24"/>
      <w:szCs w:val="24"/>
      <w:lang w:val="en-AU" w:eastAsia="zh-CN"/>
    </w:rPr>
  </w:style>
  <w:style w:type="character" w:styleId="Hyperlink">
    <w:name w:val="Hyperlink"/>
    <w:basedOn w:val="DefaultParagraphFont"/>
    <w:uiPriority w:val="99"/>
    <w:unhideWhenUsed/>
    <w:rsid w:val="00077172"/>
    <w:rPr>
      <w:color w:val="0000FF"/>
      <w:u w:val="single"/>
    </w:rPr>
  </w:style>
  <w:style w:type="paragraph" w:styleId="BalloonText">
    <w:name w:val="Balloon Text"/>
    <w:basedOn w:val="Normal"/>
    <w:link w:val="BalloonTextChar"/>
    <w:uiPriority w:val="99"/>
    <w:semiHidden/>
    <w:unhideWhenUsed/>
    <w:rsid w:val="008D0E7A"/>
    <w:rPr>
      <w:rFonts w:ascii="Tahoma" w:hAnsi="Tahoma" w:cs="Tahoma"/>
      <w:sz w:val="16"/>
      <w:szCs w:val="16"/>
    </w:rPr>
  </w:style>
  <w:style w:type="character" w:customStyle="1" w:styleId="BalloonTextChar">
    <w:name w:val="Balloon Text Char"/>
    <w:basedOn w:val="DefaultParagraphFont"/>
    <w:link w:val="BalloonText"/>
    <w:uiPriority w:val="99"/>
    <w:semiHidden/>
    <w:rsid w:val="008D0E7A"/>
    <w:rPr>
      <w:rFonts w:ascii="Tahoma" w:eastAsia="SimSun" w:hAnsi="Tahoma" w:cs="Tahoma"/>
      <w:sz w:val="16"/>
      <w:szCs w:val="16"/>
      <w:lang w:val="en-AU" w:eastAsia="zh-CN"/>
    </w:rPr>
  </w:style>
  <w:style w:type="character" w:customStyle="1" w:styleId="label">
    <w:name w:val="label"/>
    <w:basedOn w:val="DefaultParagraphFont"/>
    <w:rsid w:val="002A05B4"/>
  </w:style>
  <w:style w:type="character" w:customStyle="1" w:styleId="value">
    <w:name w:val="value"/>
    <w:basedOn w:val="DefaultParagraphFont"/>
    <w:rsid w:val="002A05B4"/>
  </w:style>
  <w:style w:type="character" w:customStyle="1" w:styleId="referencesauthors">
    <w:name w:val="references__authors"/>
    <w:basedOn w:val="DefaultParagraphFont"/>
    <w:rsid w:val="005B6363"/>
  </w:style>
  <w:style w:type="character" w:customStyle="1" w:styleId="referencesauthorsothers">
    <w:name w:val="references__authors__others"/>
    <w:basedOn w:val="DefaultParagraphFont"/>
    <w:rsid w:val="005B6363"/>
  </w:style>
  <w:style w:type="character" w:customStyle="1" w:styleId="referencesarticle-title">
    <w:name w:val="references__article-title"/>
    <w:basedOn w:val="DefaultParagraphFont"/>
    <w:rsid w:val="005B6363"/>
  </w:style>
  <w:style w:type="character" w:styleId="Strong">
    <w:name w:val="Strong"/>
    <w:basedOn w:val="DefaultParagraphFont"/>
    <w:uiPriority w:val="22"/>
    <w:qFormat/>
    <w:rsid w:val="005B6363"/>
    <w:rPr>
      <w:b/>
      <w:bCs/>
    </w:rPr>
  </w:style>
  <w:style w:type="character" w:customStyle="1" w:styleId="referencesyear">
    <w:name w:val="references__year"/>
    <w:basedOn w:val="DefaultParagraphFont"/>
    <w:rsid w:val="005B6363"/>
  </w:style>
  <w:style w:type="character" w:customStyle="1" w:styleId="referenceslabel">
    <w:name w:val="references__label"/>
    <w:basedOn w:val="DefaultParagraphFont"/>
    <w:rsid w:val="005B6363"/>
  </w:style>
  <w:style w:type="character" w:customStyle="1" w:styleId="highlight">
    <w:name w:val="highlight"/>
    <w:basedOn w:val="DefaultParagraphFont"/>
    <w:rsid w:val="005B6363"/>
  </w:style>
  <w:style w:type="paragraph" w:customStyle="1" w:styleId="p">
    <w:name w:val="p"/>
    <w:basedOn w:val="Normal"/>
    <w:rsid w:val="005B6363"/>
    <w:pPr>
      <w:spacing w:before="100" w:beforeAutospacing="1" w:after="100" w:afterAutospacing="1"/>
    </w:pPr>
    <w:rPr>
      <w:rFonts w:eastAsia="Times New Roman"/>
      <w:lang w:val="en-US" w:eastAsia="en-US"/>
    </w:rPr>
  </w:style>
  <w:style w:type="character" w:customStyle="1" w:styleId="element-citation">
    <w:name w:val="element-citation"/>
    <w:basedOn w:val="DefaultParagraphFont"/>
    <w:rsid w:val="005B6363"/>
  </w:style>
  <w:style w:type="character" w:customStyle="1" w:styleId="ref-journal">
    <w:name w:val="ref-journal"/>
    <w:basedOn w:val="DefaultParagraphFont"/>
    <w:rsid w:val="005B6363"/>
  </w:style>
  <w:style w:type="character" w:customStyle="1" w:styleId="ref-vol">
    <w:name w:val="ref-vol"/>
    <w:basedOn w:val="DefaultParagraphFont"/>
    <w:rsid w:val="005B6363"/>
  </w:style>
  <w:style w:type="character" w:customStyle="1" w:styleId="nowrap">
    <w:name w:val="nowrap"/>
    <w:basedOn w:val="DefaultParagraphFont"/>
    <w:rsid w:val="005B6363"/>
  </w:style>
  <w:style w:type="character" w:customStyle="1" w:styleId="mixed-citation">
    <w:name w:val="mixed-citation"/>
    <w:basedOn w:val="DefaultParagraphFont"/>
    <w:rsid w:val="005B6363"/>
  </w:style>
  <w:style w:type="character" w:customStyle="1" w:styleId="kwd-text">
    <w:name w:val="kwd-text"/>
    <w:basedOn w:val="DefaultParagraphFont"/>
    <w:rsid w:val="005B6363"/>
  </w:style>
  <w:style w:type="paragraph" w:styleId="NormalWeb">
    <w:name w:val="Normal (Web)"/>
    <w:basedOn w:val="Normal"/>
    <w:uiPriority w:val="99"/>
    <w:unhideWhenUsed/>
    <w:rsid w:val="005B6363"/>
    <w:pPr>
      <w:spacing w:before="100" w:beforeAutospacing="1" w:after="100" w:afterAutospacing="1"/>
    </w:pPr>
    <w:rPr>
      <w:rFonts w:eastAsia="Times New Roman"/>
      <w:lang w:val="en-US" w:eastAsia="en-US"/>
    </w:rPr>
  </w:style>
  <w:style w:type="character" w:styleId="Emphasis">
    <w:name w:val="Emphasis"/>
    <w:basedOn w:val="DefaultParagraphFont"/>
    <w:uiPriority w:val="20"/>
    <w:qFormat/>
    <w:rsid w:val="005B6363"/>
    <w:rPr>
      <w:i/>
      <w:iCs/>
    </w:rPr>
  </w:style>
  <w:style w:type="character" w:styleId="FollowedHyperlink">
    <w:name w:val="FollowedHyperlink"/>
    <w:basedOn w:val="DefaultParagraphFont"/>
    <w:uiPriority w:val="99"/>
    <w:semiHidden/>
    <w:unhideWhenUsed/>
    <w:rsid w:val="005B6363"/>
    <w:rPr>
      <w:color w:val="954F72" w:themeColor="followedHyperlink"/>
      <w:u w:val="single"/>
    </w:rPr>
  </w:style>
  <w:style w:type="character" w:customStyle="1" w:styleId="referencesnote">
    <w:name w:val="references__note"/>
    <w:basedOn w:val="DefaultParagraphFont"/>
    <w:rsid w:val="005B6363"/>
  </w:style>
  <w:style w:type="character" w:customStyle="1" w:styleId="referencessuffix">
    <w:name w:val="references__suffix"/>
    <w:basedOn w:val="DefaultParagraphFont"/>
    <w:rsid w:val="005B6363"/>
  </w:style>
  <w:style w:type="character" w:customStyle="1" w:styleId="reflabel">
    <w:name w:val="reflabel"/>
    <w:basedOn w:val="DefaultParagraphFont"/>
    <w:rsid w:val="005B6363"/>
  </w:style>
  <w:style w:type="character" w:customStyle="1" w:styleId="refpublishername">
    <w:name w:val="refpublishername"/>
    <w:basedOn w:val="DefaultParagraphFont"/>
    <w:rsid w:val="005B6363"/>
  </w:style>
  <w:style w:type="character" w:customStyle="1" w:styleId="refpublisherloc">
    <w:name w:val="refpublisherloc"/>
    <w:basedOn w:val="DefaultParagraphFont"/>
    <w:rsid w:val="005B6363"/>
  </w:style>
  <w:style w:type="character" w:customStyle="1" w:styleId="refdate">
    <w:name w:val="refdate"/>
    <w:basedOn w:val="DefaultParagraphFont"/>
    <w:rsid w:val="005B6363"/>
  </w:style>
  <w:style w:type="character" w:customStyle="1" w:styleId="refseries">
    <w:name w:val="ref__series"/>
    <w:basedOn w:val="DefaultParagraphFont"/>
    <w:rsid w:val="005B6363"/>
  </w:style>
  <w:style w:type="character" w:customStyle="1" w:styleId="refseriesdate">
    <w:name w:val="ref__seriesdate"/>
    <w:basedOn w:val="DefaultParagraphFont"/>
    <w:rsid w:val="005B6363"/>
  </w:style>
  <w:style w:type="character" w:customStyle="1" w:styleId="refseriesvolume">
    <w:name w:val="ref__seriesvolume"/>
    <w:basedOn w:val="DefaultParagraphFont"/>
    <w:rsid w:val="005B6363"/>
  </w:style>
  <w:style w:type="character" w:customStyle="1" w:styleId="refseriespages">
    <w:name w:val="ref__seriespages"/>
    <w:basedOn w:val="DefaultParagraphFont"/>
    <w:rsid w:val="005B6363"/>
  </w:style>
  <w:style w:type="paragraph" w:styleId="ListParagraph">
    <w:name w:val="List Paragraph"/>
    <w:basedOn w:val="Normal"/>
    <w:link w:val="ListParagraphChar"/>
    <w:uiPriority w:val="34"/>
    <w:qFormat/>
    <w:rsid w:val="005B6363"/>
    <w:pPr>
      <w:spacing w:after="200" w:line="276" w:lineRule="auto"/>
      <w:ind w:left="720"/>
      <w:contextualSpacing/>
    </w:pPr>
    <w:rPr>
      <w:rFonts w:asciiTheme="minorHAnsi" w:eastAsiaTheme="minorEastAsia" w:hAnsiTheme="minorHAnsi" w:cstheme="minorBidi"/>
      <w:sz w:val="22"/>
      <w:szCs w:val="22"/>
      <w:lang w:val="en-US" w:eastAsia="en-US"/>
    </w:rPr>
  </w:style>
  <w:style w:type="paragraph" w:customStyle="1" w:styleId="contribs">
    <w:name w:val="contribs"/>
    <w:basedOn w:val="Normal"/>
    <w:rsid w:val="005B6363"/>
    <w:pPr>
      <w:spacing w:before="100" w:beforeAutospacing="1" w:after="100" w:afterAutospacing="1"/>
    </w:pPr>
    <w:rPr>
      <w:rFonts w:eastAsia="Times New Roman"/>
      <w:lang w:val="en-US" w:eastAsia="en-US"/>
    </w:rPr>
  </w:style>
  <w:style w:type="character" w:customStyle="1" w:styleId="cs1-lock-free">
    <w:name w:val="cs1-lock-free"/>
    <w:basedOn w:val="DefaultParagraphFont"/>
    <w:rsid w:val="005B6363"/>
  </w:style>
  <w:style w:type="character" w:styleId="HTMLCite">
    <w:name w:val="HTML Cite"/>
    <w:basedOn w:val="DefaultParagraphFont"/>
    <w:uiPriority w:val="99"/>
    <w:semiHidden/>
    <w:unhideWhenUsed/>
    <w:rsid w:val="005B6363"/>
    <w:rPr>
      <w:i/>
      <w:iCs/>
    </w:rPr>
  </w:style>
  <w:style w:type="character" w:customStyle="1" w:styleId="mw-cite-backlink">
    <w:name w:val="mw-cite-backlink"/>
    <w:basedOn w:val="DefaultParagraphFont"/>
    <w:rsid w:val="005B6363"/>
  </w:style>
  <w:style w:type="character" w:customStyle="1" w:styleId="month">
    <w:name w:val="month"/>
    <w:basedOn w:val="DefaultParagraphFont"/>
    <w:rsid w:val="005B6363"/>
  </w:style>
  <w:style w:type="character" w:customStyle="1" w:styleId="day">
    <w:name w:val="day"/>
    <w:basedOn w:val="DefaultParagraphFont"/>
    <w:rsid w:val="005B6363"/>
  </w:style>
  <w:style w:type="character" w:customStyle="1" w:styleId="year">
    <w:name w:val="year"/>
    <w:basedOn w:val="DefaultParagraphFont"/>
    <w:rsid w:val="005B6363"/>
  </w:style>
  <w:style w:type="character" w:customStyle="1" w:styleId="Subtitle1">
    <w:name w:val="Subtitle1"/>
    <w:basedOn w:val="DefaultParagraphFont"/>
    <w:rsid w:val="005B6363"/>
  </w:style>
  <w:style w:type="character" w:customStyle="1" w:styleId="meta-authors--limited">
    <w:name w:val="meta-authors--limited"/>
    <w:basedOn w:val="DefaultParagraphFont"/>
    <w:rsid w:val="005B6363"/>
  </w:style>
  <w:style w:type="character" w:customStyle="1" w:styleId="wi-fullname">
    <w:name w:val="wi-fullname"/>
    <w:basedOn w:val="DefaultParagraphFont"/>
    <w:rsid w:val="005B6363"/>
  </w:style>
  <w:style w:type="character" w:customStyle="1" w:styleId="al-author-delim">
    <w:name w:val="al-author-delim"/>
    <w:basedOn w:val="DefaultParagraphFont"/>
    <w:rsid w:val="005B6363"/>
  </w:style>
  <w:style w:type="character" w:customStyle="1" w:styleId="reference-accessdate">
    <w:name w:val="reference-accessdate"/>
    <w:basedOn w:val="DefaultParagraphFont"/>
    <w:rsid w:val="005B6363"/>
  </w:style>
  <w:style w:type="character" w:customStyle="1" w:styleId="highwire-citation-author">
    <w:name w:val="highwire-citation-author"/>
    <w:basedOn w:val="DefaultParagraphFont"/>
    <w:rsid w:val="005B6363"/>
  </w:style>
  <w:style w:type="character" w:customStyle="1" w:styleId="Title1">
    <w:name w:val="Title1"/>
    <w:basedOn w:val="DefaultParagraphFont"/>
    <w:rsid w:val="005B6363"/>
  </w:style>
  <w:style w:type="character" w:customStyle="1" w:styleId="nlm-given-names">
    <w:name w:val="nlm-given-names"/>
    <w:basedOn w:val="DefaultParagraphFont"/>
    <w:rsid w:val="005B6363"/>
  </w:style>
  <w:style w:type="character" w:customStyle="1" w:styleId="nlm-surname">
    <w:name w:val="nlm-surname"/>
    <w:basedOn w:val="DefaultParagraphFont"/>
    <w:rsid w:val="005B6363"/>
  </w:style>
  <w:style w:type="character" w:customStyle="1" w:styleId="highwire-citation-authors">
    <w:name w:val="highwire-citation-authors"/>
    <w:basedOn w:val="DefaultParagraphFont"/>
    <w:rsid w:val="005B6363"/>
  </w:style>
  <w:style w:type="character" w:customStyle="1" w:styleId="al-author-name">
    <w:name w:val="al-author-name"/>
    <w:basedOn w:val="DefaultParagraphFont"/>
    <w:rsid w:val="005B6363"/>
  </w:style>
  <w:style w:type="character" w:customStyle="1" w:styleId="delimiter">
    <w:name w:val="delimiter"/>
    <w:basedOn w:val="DefaultParagraphFont"/>
    <w:rsid w:val="005B6363"/>
  </w:style>
  <w:style w:type="character" w:customStyle="1" w:styleId="al-author-name-more">
    <w:name w:val="al-author-name-more"/>
    <w:basedOn w:val="DefaultParagraphFont"/>
    <w:rsid w:val="005B6363"/>
  </w:style>
  <w:style w:type="paragraph" w:styleId="DocumentMap">
    <w:name w:val="Document Map"/>
    <w:basedOn w:val="Normal"/>
    <w:link w:val="DocumentMapChar"/>
    <w:uiPriority w:val="99"/>
    <w:semiHidden/>
    <w:unhideWhenUsed/>
    <w:rsid w:val="00352D64"/>
    <w:rPr>
      <w:rFonts w:ascii="Tahoma" w:hAnsi="Tahoma" w:cs="Tahoma"/>
      <w:sz w:val="16"/>
      <w:szCs w:val="16"/>
    </w:rPr>
  </w:style>
  <w:style w:type="character" w:customStyle="1" w:styleId="DocumentMapChar">
    <w:name w:val="Document Map Char"/>
    <w:basedOn w:val="DefaultParagraphFont"/>
    <w:link w:val="DocumentMap"/>
    <w:uiPriority w:val="99"/>
    <w:semiHidden/>
    <w:rsid w:val="00352D64"/>
    <w:rPr>
      <w:rFonts w:ascii="Tahoma" w:eastAsia="SimSun" w:hAnsi="Tahoma" w:cs="Tahoma"/>
      <w:sz w:val="16"/>
      <w:szCs w:val="16"/>
      <w:lang w:val="en-AU" w:eastAsia="zh-CN"/>
    </w:rPr>
  </w:style>
  <w:style w:type="character" w:styleId="LineNumber">
    <w:name w:val="line number"/>
    <w:basedOn w:val="DefaultParagraphFont"/>
    <w:uiPriority w:val="99"/>
    <w:semiHidden/>
    <w:unhideWhenUsed/>
    <w:rsid w:val="00352D64"/>
  </w:style>
  <w:style w:type="table" w:styleId="TableGrid">
    <w:name w:val="Table Grid"/>
    <w:basedOn w:val="TableNormal"/>
    <w:uiPriority w:val="39"/>
    <w:qFormat/>
    <w:rsid w:val="0067139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header6">
    <w:name w:val="sheader6"/>
    <w:basedOn w:val="DefaultParagraphFont"/>
    <w:rsid w:val="00671396"/>
  </w:style>
  <w:style w:type="character" w:customStyle="1" w:styleId="black">
    <w:name w:val="&quot;black&quot;"/>
    <w:basedOn w:val="DefaultParagraphFont"/>
    <w:rsid w:val="00671396"/>
  </w:style>
  <w:style w:type="character" w:customStyle="1" w:styleId="black0">
    <w:name w:val="black"/>
    <w:basedOn w:val="DefaultParagraphFont"/>
    <w:rsid w:val="00671396"/>
  </w:style>
  <w:style w:type="character" w:customStyle="1" w:styleId="sciname">
    <w:name w:val="sciname"/>
    <w:basedOn w:val="DefaultParagraphFont"/>
    <w:rsid w:val="00671396"/>
  </w:style>
  <w:style w:type="character" w:customStyle="1" w:styleId="slabel1">
    <w:name w:val="slabel1"/>
    <w:basedOn w:val="DefaultParagraphFont"/>
    <w:rsid w:val="00671396"/>
  </w:style>
  <w:style w:type="character" w:customStyle="1" w:styleId="ptitle">
    <w:name w:val="ptitle"/>
    <w:basedOn w:val="DefaultParagraphFont"/>
    <w:rsid w:val="00671396"/>
  </w:style>
  <w:style w:type="character" w:customStyle="1" w:styleId="A4">
    <w:name w:val="A4"/>
    <w:uiPriority w:val="99"/>
    <w:rsid w:val="00671396"/>
    <w:rPr>
      <w:rFonts w:cs="Calibri"/>
      <w:color w:val="000000"/>
      <w:sz w:val="16"/>
      <w:szCs w:val="16"/>
    </w:rPr>
  </w:style>
  <w:style w:type="paragraph" w:customStyle="1" w:styleId="Pa6">
    <w:name w:val="Pa6"/>
    <w:basedOn w:val="Normal"/>
    <w:next w:val="Normal"/>
    <w:uiPriority w:val="99"/>
    <w:rsid w:val="00671396"/>
    <w:pPr>
      <w:autoSpaceDE w:val="0"/>
      <w:autoSpaceDN w:val="0"/>
      <w:adjustRightInd w:val="0"/>
      <w:spacing w:line="241" w:lineRule="atLeast"/>
    </w:pPr>
    <w:rPr>
      <w:rFonts w:eastAsiaTheme="minorHAnsi"/>
      <w:lang w:val="en-US" w:eastAsia="en-US"/>
    </w:rPr>
  </w:style>
  <w:style w:type="character" w:customStyle="1" w:styleId="fontstyle01">
    <w:name w:val="fontstyle01"/>
    <w:basedOn w:val="DefaultParagraphFont"/>
    <w:rsid w:val="00671396"/>
    <w:rPr>
      <w:rFonts w:ascii="Times-Bold" w:hAnsi="Times-Bold" w:hint="default"/>
      <w:b/>
      <w:bCs/>
      <w:i w:val="0"/>
      <w:iCs w:val="0"/>
      <w:color w:val="000000"/>
      <w:sz w:val="28"/>
      <w:szCs w:val="28"/>
    </w:rPr>
  </w:style>
  <w:style w:type="character" w:customStyle="1" w:styleId="fontstyle21">
    <w:name w:val="fontstyle21"/>
    <w:basedOn w:val="DefaultParagraphFont"/>
    <w:rsid w:val="00671396"/>
    <w:rPr>
      <w:rFonts w:ascii="Times-Roman" w:hAnsi="Times-Roman" w:hint="default"/>
      <w:b w:val="0"/>
      <w:bCs w:val="0"/>
      <w:i w:val="0"/>
      <w:iCs w:val="0"/>
      <w:color w:val="242021"/>
      <w:sz w:val="20"/>
      <w:szCs w:val="20"/>
    </w:rPr>
  </w:style>
  <w:style w:type="character" w:customStyle="1" w:styleId="fontstyle31">
    <w:name w:val="fontstyle31"/>
    <w:basedOn w:val="DefaultParagraphFont"/>
    <w:rsid w:val="00671396"/>
    <w:rPr>
      <w:rFonts w:ascii="Helvetica-Bold" w:hAnsi="Helvetica-Bold" w:hint="default"/>
      <w:b/>
      <w:bCs/>
      <w:i w:val="0"/>
      <w:iCs w:val="0"/>
      <w:color w:val="242021"/>
      <w:sz w:val="18"/>
      <w:szCs w:val="18"/>
    </w:rPr>
  </w:style>
  <w:style w:type="character" w:customStyle="1" w:styleId="fontstyle41">
    <w:name w:val="fontstyle41"/>
    <w:basedOn w:val="DefaultParagraphFont"/>
    <w:rsid w:val="00671396"/>
    <w:rPr>
      <w:rFonts w:ascii="Times-Italic" w:hAnsi="Times-Italic" w:hint="default"/>
      <w:b w:val="0"/>
      <w:bCs w:val="0"/>
      <w:i/>
      <w:iCs/>
      <w:color w:val="242021"/>
      <w:sz w:val="18"/>
      <w:szCs w:val="18"/>
    </w:rPr>
  </w:style>
  <w:style w:type="character" w:customStyle="1" w:styleId="A1">
    <w:name w:val="A1"/>
    <w:uiPriority w:val="99"/>
    <w:rsid w:val="00671396"/>
    <w:rPr>
      <w:rFonts w:cs="Calibri"/>
      <w:color w:val="000000"/>
      <w:sz w:val="20"/>
      <w:szCs w:val="20"/>
    </w:rPr>
  </w:style>
  <w:style w:type="table" w:customStyle="1" w:styleId="TableGrid1">
    <w:name w:val="Table Grid1"/>
    <w:basedOn w:val="TableNormal"/>
    <w:next w:val="TableGrid"/>
    <w:uiPriority w:val="39"/>
    <w:rsid w:val="00927DDB"/>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2">
    <w:name w:val="Table Grid2"/>
    <w:basedOn w:val="TableNormal"/>
    <w:next w:val="TableGrid"/>
    <w:uiPriority w:val="39"/>
    <w:rsid w:val="00BC64C6"/>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3">
    <w:name w:val="Table Grid3"/>
    <w:basedOn w:val="TableNormal"/>
    <w:next w:val="TableGrid"/>
    <w:uiPriority w:val="59"/>
    <w:rsid w:val="00BC64C6"/>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1">
    <w:name w:val="Table Grid11"/>
    <w:basedOn w:val="TableNormal"/>
    <w:next w:val="TableGrid"/>
    <w:uiPriority w:val="59"/>
    <w:rsid w:val="00BC64C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ubtitle">
    <w:name w:val="Subtitle"/>
    <w:basedOn w:val="Normal"/>
    <w:next w:val="Normal"/>
    <w:link w:val="SubtitleChar"/>
    <w:uiPriority w:val="11"/>
    <w:qFormat/>
    <w:rsid w:val="00AC329A"/>
    <w:pPr>
      <w:keepNext/>
      <w:keepLines/>
      <w:spacing w:before="360" w:after="80"/>
    </w:pPr>
    <w:rPr>
      <w:rFonts w:ascii="Georgia" w:eastAsia="Georgia" w:hAnsi="Georgia" w:cs="Georgia"/>
      <w:i/>
      <w:color w:val="666666"/>
      <w:sz w:val="48"/>
      <w:szCs w:val="48"/>
    </w:rPr>
  </w:style>
  <w:style w:type="table" w:customStyle="1" w:styleId="a">
    <w:basedOn w:val="TableNormal"/>
    <w:rsid w:val="00AC329A"/>
    <w:tblPr>
      <w:tblStyleRowBandSize w:val="1"/>
      <w:tblStyleColBandSize w:val="1"/>
      <w:tblCellMar>
        <w:left w:w="115" w:type="dxa"/>
        <w:right w:w="115" w:type="dxa"/>
      </w:tblCellMar>
    </w:tblPr>
  </w:style>
  <w:style w:type="table" w:customStyle="1" w:styleId="a0">
    <w:basedOn w:val="TableNormal"/>
    <w:rsid w:val="00AC329A"/>
    <w:tblPr>
      <w:tblStyleRowBandSize w:val="1"/>
      <w:tblStyleColBandSize w:val="1"/>
      <w:tblCellMar>
        <w:left w:w="115" w:type="dxa"/>
        <w:right w:w="115" w:type="dxa"/>
      </w:tblCellMar>
    </w:tblPr>
  </w:style>
  <w:style w:type="table" w:customStyle="1" w:styleId="a2">
    <w:basedOn w:val="TableNormal"/>
    <w:rsid w:val="00AC329A"/>
    <w:tblPr>
      <w:tblStyleRowBandSize w:val="1"/>
      <w:tblStyleColBandSize w:val="1"/>
      <w:tblCellMar>
        <w:left w:w="115" w:type="dxa"/>
        <w:right w:w="115" w:type="dxa"/>
      </w:tblCellMar>
    </w:tblPr>
  </w:style>
  <w:style w:type="paragraph" w:styleId="BodyText">
    <w:name w:val="Body Text"/>
    <w:basedOn w:val="Normal"/>
    <w:link w:val="BodyTextChar"/>
    <w:uiPriority w:val="1"/>
    <w:qFormat/>
    <w:rsid w:val="00A83B4F"/>
    <w:pPr>
      <w:widowControl w:val="0"/>
      <w:autoSpaceDE w:val="0"/>
      <w:autoSpaceDN w:val="0"/>
    </w:pPr>
    <w:rPr>
      <w:rFonts w:eastAsia="Times New Roman"/>
      <w:sz w:val="22"/>
      <w:szCs w:val="22"/>
      <w:lang w:val="en-US" w:eastAsia="en-US" w:bidi="en-US"/>
    </w:rPr>
  </w:style>
  <w:style w:type="character" w:customStyle="1" w:styleId="BodyTextChar">
    <w:name w:val="Body Text Char"/>
    <w:basedOn w:val="DefaultParagraphFont"/>
    <w:link w:val="BodyText"/>
    <w:uiPriority w:val="1"/>
    <w:rsid w:val="00A83B4F"/>
    <w:rPr>
      <w:sz w:val="22"/>
      <w:szCs w:val="22"/>
      <w:lang w:val="en-US" w:bidi="en-US"/>
    </w:rPr>
  </w:style>
  <w:style w:type="paragraph" w:customStyle="1" w:styleId="TableParagraph">
    <w:name w:val="Table Paragraph"/>
    <w:basedOn w:val="Normal"/>
    <w:uiPriority w:val="1"/>
    <w:qFormat/>
    <w:rsid w:val="00350812"/>
    <w:pPr>
      <w:widowControl w:val="0"/>
      <w:autoSpaceDE w:val="0"/>
      <w:autoSpaceDN w:val="0"/>
    </w:pPr>
    <w:rPr>
      <w:rFonts w:ascii="Cambria Math" w:eastAsia="Cambria Math" w:hAnsi="Cambria Math" w:cs="Cambria Math"/>
      <w:sz w:val="22"/>
      <w:szCs w:val="22"/>
      <w:lang w:val="en-US" w:eastAsia="en-US" w:bidi="en-US"/>
    </w:rPr>
  </w:style>
  <w:style w:type="character" w:customStyle="1" w:styleId="ListParagraphChar">
    <w:name w:val="List Paragraph Char"/>
    <w:link w:val="ListParagraph"/>
    <w:uiPriority w:val="34"/>
    <w:rsid w:val="00AE289A"/>
    <w:rPr>
      <w:rFonts w:asciiTheme="minorHAnsi" w:eastAsiaTheme="minorEastAsia" w:hAnsiTheme="minorHAnsi" w:cstheme="minorBidi"/>
      <w:sz w:val="22"/>
      <w:szCs w:val="22"/>
      <w:lang w:val="en-US"/>
    </w:rPr>
  </w:style>
  <w:style w:type="paragraph" w:styleId="NoSpacing">
    <w:name w:val="No Spacing"/>
    <w:uiPriority w:val="1"/>
    <w:qFormat/>
    <w:rsid w:val="0075590F"/>
    <w:pPr>
      <w:widowControl w:val="0"/>
      <w:jc w:val="both"/>
    </w:pPr>
    <w:rPr>
      <w:rFonts w:ascii="Palatino" w:hAnsi="Palatino"/>
      <w:kern w:val="16"/>
      <w:sz w:val="19"/>
      <w:szCs w:val="20"/>
      <w:lang w:val="en-US"/>
    </w:rPr>
  </w:style>
  <w:style w:type="paragraph" w:customStyle="1" w:styleId="contact-content">
    <w:name w:val="contact-content"/>
    <w:basedOn w:val="Normal"/>
    <w:rsid w:val="006B0E1B"/>
    <w:pPr>
      <w:spacing w:before="100" w:beforeAutospacing="1" w:after="100" w:afterAutospacing="1"/>
    </w:pPr>
    <w:rPr>
      <w:rFonts w:eastAsia="Times New Roman"/>
      <w:lang w:val="en-US" w:eastAsia="en-US"/>
    </w:rPr>
  </w:style>
  <w:style w:type="character" w:styleId="UnresolvedMention">
    <w:name w:val="Unresolved Mention"/>
    <w:basedOn w:val="DefaultParagraphFont"/>
    <w:uiPriority w:val="99"/>
    <w:semiHidden/>
    <w:unhideWhenUsed/>
    <w:rsid w:val="000D563E"/>
    <w:rPr>
      <w:color w:val="605E5C"/>
      <w:shd w:val="clear" w:color="auto" w:fill="E1DFDD"/>
    </w:rPr>
  </w:style>
  <w:style w:type="table" w:styleId="PlainTable2">
    <w:name w:val="Plain Table 2"/>
    <w:basedOn w:val="TableNormal"/>
    <w:uiPriority w:val="42"/>
    <w:rsid w:val="0001523C"/>
    <w:rPr>
      <w:rFonts w:asciiTheme="minorHAnsi" w:eastAsiaTheme="minorHAnsi" w:hAnsiTheme="minorHAnsi" w:cstheme="minorBidi"/>
      <w:sz w:val="22"/>
      <w:szCs w:val="22"/>
      <w:lang w:val="en-US"/>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customStyle="1" w:styleId="Heading7Char">
    <w:name w:val="Heading 7 Char"/>
    <w:basedOn w:val="DefaultParagraphFont"/>
    <w:link w:val="Heading7"/>
    <w:uiPriority w:val="9"/>
    <w:semiHidden/>
    <w:rsid w:val="00DE4084"/>
    <w:rPr>
      <w:rFonts w:asciiTheme="minorHAnsi" w:eastAsiaTheme="majorEastAsia" w:hAnsiTheme="minorHAnsi" w:cstheme="majorBidi"/>
      <w:color w:val="595959" w:themeColor="text1" w:themeTint="A6"/>
      <w:sz w:val="22"/>
      <w:szCs w:val="22"/>
      <w:lang w:val="en-MY" w:eastAsia="zh-CN"/>
    </w:rPr>
  </w:style>
  <w:style w:type="character" w:customStyle="1" w:styleId="Heading8Char">
    <w:name w:val="Heading 8 Char"/>
    <w:basedOn w:val="DefaultParagraphFont"/>
    <w:link w:val="Heading8"/>
    <w:uiPriority w:val="9"/>
    <w:semiHidden/>
    <w:rsid w:val="00DE4084"/>
    <w:rPr>
      <w:rFonts w:asciiTheme="minorHAnsi" w:eastAsiaTheme="majorEastAsia" w:hAnsiTheme="minorHAnsi" w:cstheme="majorBidi"/>
      <w:i/>
      <w:iCs/>
      <w:color w:val="272727" w:themeColor="text1" w:themeTint="D8"/>
      <w:sz w:val="22"/>
      <w:szCs w:val="22"/>
      <w:lang w:val="en-MY" w:eastAsia="zh-CN"/>
    </w:rPr>
  </w:style>
  <w:style w:type="character" w:customStyle="1" w:styleId="Heading9Char">
    <w:name w:val="Heading 9 Char"/>
    <w:basedOn w:val="DefaultParagraphFont"/>
    <w:link w:val="Heading9"/>
    <w:uiPriority w:val="9"/>
    <w:semiHidden/>
    <w:rsid w:val="00DE4084"/>
    <w:rPr>
      <w:rFonts w:asciiTheme="minorHAnsi" w:eastAsiaTheme="majorEastAsia" w:hAnsiTheme="minorHAnsi" w:cstheme="majorBidi"/>
      <w:color w:val="272727" w:themeColor="text1" w:themeTint="D8"/>
      <w:sz w:val="22"/>
      <w:szCs w:val="22"/>
      <w:lang w:val="en-MY" w:eastAsia="zh-CN"/>
    </w:rPr>
  </w:style>
  <w:style w:type="character" w:customStyle="1" w:styleId="Heading3Char">
    <w:name w:val="Heading 3 Char"/>
    <w:basedOn w:val="DefaultParagraphFont"/>
    <w:link w:val="Heading3"/>
    <w:uiPriority w:val="9"/>
    <w:rsid w:val="00DE4084"/>
    <w:rPr>
      <w:b/>
      <w:sz w:val="28"/>
      <w:szCs w:val="28"/>
    </w:rPr>
  </w:style>
  <w:style w:type="character" w:customStyle="1" w:styleId="Heading4Char">
    <w:name w:val="Heading 4 Char"/>
    <w:basedOn w:val="DefaultParagraphFont"/>
    <w:link w:val="Heading4"/>
    <w:uiPriority w:val="9"/>
    <w:rsid w:val="00DE4084"/>
    <w:rPr>
      <w:b/>
    </w:rPr>
  </w:style>
  <w:style w:type="character" w:customStyle="1" w:styleId="Heading5Char">
    <w:name w:val="Heading 5 Char"/>
    <w:basedOn w:val="DefaultParagraphFont"/>
    <w:link w:val="Heading5"/>
    <w:uiPriority w:val="9"/>
    <w:rsid w:val="00DE4084"/>
    <w:rPr>
      <w:b/>
      <w:sz w:val="22"/>
      <w:szCs w:val="22"/>
    </w:rPr>
  </w:style>
  <w:style w:type="character" w:customStyle="1" w:styleId="Heading6Char">
    <w:name w:val="Heading 6 Char"/>
    <w:basedOn w:val="DefaultParagraphFont"/>
    <w:link w:val="Heading6"/>
    <w:uiPriority w:val="9"/>
    <w:rsid w:val="00DE4084"/>
    <w:rPr>
      <w:b/>
      <w:sz w:val="20"/>
      <w:szCs w:val="20"/>
    </w:rPr>
  </w:style>
  <w:style w:type="character" w:customStyle="1" w:styleId="TitleChar">
    <w:name w:val="Title Char"/>
    <w:basedOn w:val="DefaultParagraphFont"/>
    <w:link w:val="Title"/>
    <w:uiPriority w:val="10"/>
    <w:rsid w:val="00DE4084"/>
    <w:rPr>
      <w:b/>
      <w:sz w:val="72"/>
      <w:szCs w:val="72"/>
    </w:rPr>
  </w:style>
  <w:style w:type="character" w:customStyle="1" w:styleId="SubtitleChar">
    <w:name w:val="Subtitle Char"/>
    <w:basedOn w:val="DefaultParagraphFont"/>
    <w:link w:val="Subtitle"/>
    <w:uiPriority w:val="11"/>
    <w:rsid w:val="00DE4084"/>
    <w:rPr>
      <w:rFonts w:ascii="Georgia" w:eastAsia="Georgia" w:hAnsi="Georgia" w:cs="Georgia"/>
      <w:i/>
      <w:color w:val="666666"/>
      <w:sz w:val="48"/>
      <w:szCs w:val="48"/>
      <w:lang w:val="en-AU" w:eastAsia="zh-CN"/>
    </w:rPr>
  </w:style>
  <w:style w:type="paragraph" w:styleId="Quote">
    <w:name w:val="Quote"/>
    <w:basedOn w:val="Normal"/>
    <w:next w:val="Normal"/>
    <w:link w:val="QuoteChar"/>
    <w:uiPriority w:val="29"/>
    <w:qFormat/>
    <w:rsid w:val="00DE4084"/>
    <w:pPr>
      <w:spacing w:before="160" w:after="200" w:line="276" w:lineRule="auto"/>
      <w:jc w:val="center"/>
    </w:pPr>
    <w:rPr>
      <w:rFonts w:asciiTheme="minorHAnsi" w:eastAsiaTheme="minorEastAsia" w:hAnsiTheme="minorHAnsi" w:cstheme="minorBidi"/>
      <w:i/>
      <w:iCs/>
      <w:color w:val="404040" w:themeColor="text1" w:themeTint="BF"/>
      <w:sz w:val="22"/>
      <w:szCs w:val="22"/>
      <w:lang w:val="en-MY"/>
    </w:rPr>
  </w:style>
  <w:style w:type="character" w:customStyle="1" w:styleId="QuoteChar">
    <w:name w:val="Quote Char"/>
    <w:basedOn w:val="DefaultParagraphFont"/>
    <w:link w:val="Quote"/>
    <w:uiPriority w:val="29"/>
    <w:rsid w:val="00DE4084"/>
    <w:rPr>
      <w:rFonts w:asciiTheme="minorHAnsi" w:eastAsiaTheme="minorEastAsia" w:hAnsiTheme="minorHAnsi" w:cstheme="minorBidi"/>
      <w:i/>
      <w:iCs/>
      <w:color w:val="404040" w:themeColor="text1" w:themeTint="BF"/>
      <w:sz w:val="22"/>
      <w:szCs w:val="22"/>
      <w:lang w:val="en-MY" w:eastAsia="zh-CN"/>
    </w:rPr>
  </w:style>
  <w:style w:type="character" w:styleId="IntenseEmphasis">
    <w:name w:val="Intense Emphasis"/>
    <w:basedOn w:val="DefaultParagraphFont"/>
    <w:uiPriority w:val="21"/>
    <w:qFormat/>
    <w:rsid w:val="00DE4084"/>
    <w:rPr>
      <w:i/>
      <w:iCs/>
      <w:color w:val="2F5496" w:themeColor="accent1" w:themeShade="BF"/>
    </w:rPr>
  </w:style>
  <w:style w:type="paragraph" w:styleId="IntenseQuote">
    <w:name w:val="Intense Quote"/>
    <w:basedOn w:val="Normal"/>
    <w:next w:val="Normal"/>
    <w:link w:val="IntenseQuoteChar"/>
    <w:uiPriority w:val="30"/>
    <w:qFormat/>
    <w:rsid w:val="00DE4084"/>
    <w:pPr>
      <w:pBdr>
        <w:top w:val="single" w:sz="4" w:space="10" w:color="2F5496" w:themeColor="accent1" w:themeShade="BF"/>
        <w:bottom w:val="single" w:sz="4" w:space="10" w:color="2F5496" w:themeColor="accent1" w:themeShade="BF"/>
      </w:pBdr>
      <w:spacing w:before="360" w:after="360" w:line="276" w:lineRule="auto"/>
      <w:ind w:left="864" w:right="864"/>
      <w:jc w:val="center"/>
    </w:pPr>
    <w:rPr>
      <w:rFonts w:asciiTheme="minorHAnsi" w:eastAsiaTheme="minorEastAsia" w:hAnsiTheme="minorHAnsi" w:cstheme="minorBidi"/>
      <w:i/>
      <w:iCs/>
      <w:color w:val="2F5496" w:themeColor="accent1" w:themeShade="BF"/>
      <w:sz w:val="22"/>
      <w:szCs w:val="22"/>
      <w:lang w:val="en-MY"/>
    </w:rPr>
  </w:style>
  <w:style w:type="character" w:customStyle="1" w:styleId="IntenseQuoteChar">
    <w:name w:val="Intense Quote Char"/>
    <w:basedOn w:val="DefaultParagraphFont"/>
    <w:link w:val="IntenseQuote"/>
    <w:uiPriority w:val="30"/>
    <w:rsid w:val="00DE4084"/>
    <w:rPr>
      <w:rFonts w:asciiTheme="minorHAnsi" w:eastAsiaTheme="minorEastAsia" w:hAnsiTheme="minorHAnsi" w:cstheme="minorBidi"/>
      <w:i/>
      <w:iCs/>
      <w:color w:val="2F5496" w:themeColor="accent1" w:themeShade="BF"/>
      <w:sz w:val="22"/>
      <w:szCs w:val="22"/>
      <w:lang w:val="en-MY" w:eastAsia="zh-CN"/>
    </w:rPr>
  </w:style>
  <w:style w:type="character" w:styleId="IntenseReference">
    <w:name w:val="Intense Reference"/>
    <w:basedOn w:val="DefaultParagraphFont"/>
    <w:uiPriority w:val="32"/>
    <w:qFormat/>
    <w:rsid w:val="00DE4084"/>
    <w:rPr>
      <w:b/>
      <w:bCs/>
      <w:smallCaps/>
      <w:color w:val="2F5496" w:themeColor="accent1" w:themeShade="BF"/>
      <w:spacing w:val="5"/>
    </w:rPr>
  </w:style>
  <w:style w:type="table" w:customStyle="1" w:styleId="PlainTable51">
    <w:name w:val="Plain Table 51"/>
    <w:basedOn w:val="TableNormal"/>
    <w:next w:val="PlainTable5"/>
    <w:uiPriority w:val="45"/>
    <w:rsid w:val="00DE4084"/>
    <w:rPr>
      <w:rFonts w:asciiTheme="minorHAnsi" w:eastAsia="Calibri" w:hAnsiTheme="minorHAnsi" w:cstheme="minorBidi"/>
      <w:sz w:val="22"/>
      <w:szCs w:val="22"/>
      <w:lang w:val="en-US"/>
    </w:rPr>
    <w:tblPr>
      <w:tblStyleRowBandSize w:val="1"/>
      <w:tblStyleColBandSize w:val="1"/>
    </w:tblPr>
    <w:tblStylePr w:type="firstRow">
      <w:rPr>
        <w:rFonts w:ascii="Calibri Light" w:eastAsia="DengXian Light" w:hAnsi="Calibri Light" w:cs="Times New Roman"/>
        <w:i/>
        <w:iCs/>
        <w:sz w:val="26"/>
      </w:rPr>
      <w:tblPr/>
      <w:tcPr>
        <w:tcBorders>
          <w:bottom w:val="single" w:sz="4" w:space="0" w:color="7F7F7F"/>
        </w:tcBorders>
        <w:shd w:val="clear" w:color="auto" w:fill="FFFFFF"/>
      </w:tcPr>
    </w:tblStylePr>
    <w:tblStylePr w:type="lastRow">
      <w:rPr>
        <w:rFonts w:ascii="Calibri Light" w:eastAsia="DengXian Light" w:hAnsi="Calibri Light" w:cs="Times New Roman"/>
        <w:i/>
        <w:iCs/>
        <w:sz w:val="26"/>
      </w:rPr>
      <w:tblPr/>
      <w:tcPr>
        <w:tcBorders>
          <w:top w:val="single" w:sz="4" w:space="0" w:color="7F7F7F"/>
        </w:tcBorders>
        <w:shd w:val="clear" w:color="auto" w:fill="FFFFFF"/>
      </w:tcPr>
    </w:tblStylePr>
    <w:tblStylePr w:type="firstCol">
      <w:pPr>
        <w:jc w:val="right"/>
      </w:pPr>
      <w:rPr>
        <w:rFonts w:ascii="Calibri Light" w:eastAsia="DengXian Light" w:hAnsi="Calibri Light" w:cs="Times New Roman"/>
        <w:i/>
        <w:iCs/>
        <w:sz w:val="26"/>
      </w:rPr>
      <w:tblPr/>
      <w:tcPr>
        <w:tcBorders>
          <w:right w:val="single" w:sz="4" w:space="0" w:color="7F7F7F"/>
        </w:tcBorders>
        <w:shd w:val="clear" w:color="auto" w:fill="FFFFFF"/>
      </w:tcPr>
    </w:tblStylePr>
    <w:tblStylePr w:type="lastCol">
      <w:rPr>
        <w:rFonts w:ascii="Calibri Light" w:eastAsia="DengXian Light" w:hAnsi="Calibri Light" w:cs="Times New Roman"/>
        <w:i/>
        <w:iCs/>
        <w:sz w:val="26"/>
      </w:rPr>
      <w:tblPr/>
      <w:tcPr>
        <w:tcBorders>
          <w:left w:val="single" w:sz="4" w:space="0" w:color="7F7F7F"/>
        </w:tcBorders>
        <w:shd w:val="clear" w:color="auto" w:fill="FFFFFF"/>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PlainTable5">
    <w:name w:val="Plain Table 5"/>
    <w:basedOn w:val="TableNormal"/>
    <w:uiPriority w:val="45"/>
    <w:rsid w:val="00DE4084"/>
    <w:rPr>
      <w:rFonts w:asciiTheme="minorHAnsi" w:eastAsiaTheme="minorHAnsi" w:hAnsiTheme="minorHAnsi" w:cstheme="minorBidi"/>
      <w:kern w:val="2"/>
      <w:sz w:val="22"/>
      <w:szCs w:val="22"/>
      <w:lang w:val="en-US"/>
      <w14:ligatures w14:val="standardContextual"/>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customStyle="1" w:styleId="Default">
    <w:name w:val="Default"/>
    <w:rsid w:val="00DE4084"/>
    <w:pPr>
      <w:autoSpaceDE w:val="0"/>
      <w:autoSpaceDN w:val="0"/>
      <w:adjustRightInd w:val="0"/>
    </w:pPr>
    <w:rPr>
      <w:rFonts w:eastAsia="SimSun"/>
      <w:color w:val="000000"/>
      <w:lang w:val="en-US"/>
    </w:rPr>
  </w:style>
  <w:style w:type="character" w:customStyle="1" w:styleId="tgc">
    <w:name w:val="_tgc"/>
    <w:basedOn w:val="DefaultParagraphFont"/>
    <w:rsid w:val="00DE4084"/>
  </w:style>
  <w:style w:type="character" w:customStyle="1" w:styleId="st">
    <w:name w:val="st"/>
    <w:basedOn w:val="DefaultParagraphFont"/>
    <w:rsid w:val="00DE4084"/>
  </w:style>
  <w:style w:type="character" w:customStyle="1" w:styleId="apple-converted-space">
    <w:name w:val="apple-converted-space"/>
    <w:basedOn w:val="DefaultParagraphFont"/>
    <w:rsid w:val="00DE4084"/>
  </w:style>
  <w:style w:type="character" w:customStyle="1" w:styleId="reference">
    <w:name w:val="reference"/>
    <w:basedOn w:val="DefaultParagraphFont"/>
    <w:rsid w:val="00DE4084"/>
  </w:style>
  <w:style w:type="character" w:customStyle="1" w:styleId="refauthors">
    <w:name w:val="refauthors"/>
    <w:basedOn w:val="DefaultParagraphFont"/>
    <w:rsid w:val="00DE4084"/>
  </w:style>
  <w:style w:type="character" w:customStyle="1" w:styleId="reftitle">
    <w:name w:val="reftitle"/>
    <w:basedOn w:val="DefaultParagraphFont"/>
    <w:rsid w:val="00DE4084"/>
  </w:style>
  <w:style w:type="character" w:customStyle="1" w:styleId="refseriesdate0">
    <w:name w:val="refseriesdate"/>
    <w:basedOn w:val="DefaultParagraphFont"/>
    <w:rsid w:val="00DE4084"/>
  </w:style>
  <w:style w:type="character" w:customStyle="1" w:styleId="refseriesvolume0">
    <w:name w:val="refseriesvolume"/>
    <w:basedOn w:val="DefaultParagraphFont"/>
    <w:rsid w:val="00DE4084"/>
  </w:style>
  <w:style w:type="character" w:customStyle="1" w:styleId="refpages">
    <w:name w:val="refpages"/>
    <w:basedOn w:val="DefaultParagraphFont"/>
    <w:rsid w:val="00DE4084"/>
  </w:style>
  <w:style w:type="character" w:customStyle="1" w:styleId="fn">
    <w:name w:val="fn"/>
    <w:basedOn w:val="DefaultParagraphFont"/>
    <w:rsid w:val="00DE4084"/>
  </w:style>
  <w:style w:type="character" w:styleId="CommentReference">
    <w:name w:val="annotation reference"/>
    <w:basedOn w:val="DefaultParagraphFont"/>
    <w:uiPriority w:val="99"/>
    <w:semiHidden/>
    <w:unhideWhenUsed/>
    <w:rsid w:val="00DE4084"/>
    <w:rPr>
      <w:sz w:val="16"/>
      <w:szCs w:val="16"/>
    </w:rPr>
  </w:style>
  <w:style w:type="paragraph" w:styleId="CommentText">
    <w:name w:val="annotation text"/>
    <w:basedOn w:val="Normal"/>
    <w:link w:val="CommentTextChar"/>
    <w:uiPriority w:val="99"/>
    <w:unhideWhenUsed/>
    <w:rsid w:val="00DE4084"/>
    <w:pPr>
      <w:spacing w:after="200"/>
    </w:pPr>
    <w:rPr>
      <w:rFonts w:asciiTheme="minorHAnsi" w:eastAsiaTheme="minorEastAsia" w:hAnsiTheme="minorHAnsi" w:cstheme="minorBidi"/>
      <w:sz w:val="20"/>
      <w:szCs w:val="20"/>
      <w:lang w:val="en-MY"/>
    </w:rPr>
  </w:style>
  <w:style w:type="character" w:customStyle="1" w:styleId="CommentTextChar">
    <w:name w:val="Comment Text Char"/>
    <w:basedOn w:val="DefaultParagraphFont"/>
    <w:link w:val="CommentText"/>
    <w:uiPriority w:val="99"/>
    <w:rsid w:val="00DE4084"/>
    <w:rPr>
      <w:rFonts w:asciiTheme="minorHAnsi" w:eastAsiaTheme="minorEastAsia" w:hAnsiTheme="minorHAnsi" w:cstheme="minorBidi"/>
      <w:sz w:val="20"/>
      <w:szCs w:val="20"/>
      <w:lang w:val="en-MY" w:eastAsia="zh-CN"/>
    </w:rPr>
  </w:style>
  <w:style w:type="paragraph" w:styleId="CommentSubject">
    <w:name w:val="annotation subject"/>
    <w:basedOn w:val="CommentText"/>
    <w:next w:val="CommentText"/>
    <w:link w:val="CommentSubjectChar"/>
    <w:uiPriority w:val="99"/>
    <w:semiHidden/>
    <w:unhideWhenUsed/>
    <w:rsid w:val="00DE4084"/>
    <w:rPr>
      <w:b/>
      <w:bCs/>
    </w:rPr>
  </w:style>
  <w:style w:type="character" w:customStyle="1" w:styleId="CommentSubjectChar">
    <w:name w:val="Comment Subject Char"/>
    <w:basedOn w:val="CommentTextChar"/>
    <w:link w:val="CommentSubject"/>
    <w:uiPriority w:val="99"/>
    <w:semiHidden/>
    <w:rsid w:val="00DE4084"/>
    <w:rPr>
      <w:rFonts w:asciiTheme="minorHAnsi" w:eastAsiaTheme="minorEastAsia" w:hAnsiTheme="minorHAnsi" w:cstheme="minorBidi"/>
      <w:b/>
      <w:bCs/>
      <w:sz w:val="20"/>
      <w:szCs w:val="20"/>
      <w:lang w:val="en-MY" w:eastAsia="zh-CN"/>
    </w:rPr>
  </w:style>
  <w:style w:type="character" w:customStyle="1" w:styleId="15">
    <w:name w:val="15"/>
    <w:basedOn w:val="DefaultParagraphFont"/>
    <w:rsid w:val="00DE4084"/>
    <w:rPr>
      <w:rFonts w:ascii="Calibri" w:hAnsi="Calibri" w:cs="Calibri" w:hint="default"/>
    </w:rPr>
  </w:style>
  <w:style w:type="table" w:styleId="ListTable7Colorful">
    <w:name w:val="List Table 7 Colorful"/>
    <w:basedOn w:val="TableNormal"/>
    <w:uiPriority w:val="52"/>
    <w:rsid w:val="00DE4084"/>
    <w:rPr>
      <w:rFonts w:asciiTheme="minorHAnsi" w:eastAsia="SimSun" w:hAnsiTheme="minorHAnsi" w:cstheme="minorBidi"/>
      <w:color w:val="000000" w:themeColor="text1"/>
      <w:sz w:val="22"/>
      <w:szCs w:val="22"/>
      <w:lang w:val="en-MY"/>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3">
    <w:name w:val="List Table 7 Colorful Accent 3"/>
    <w:basedOn w:val="TableNormal"/>
    <w:uiPriority w:val="52"/>
    <w:rsid w:val="00DE4084"/>
    <w:rPr>
      <w:rFonts w:asciiTheme="minorHAnsi" w:eastAsia="SimSun" w:hAnsiTheme="minorHAnsi" w:cstheme="minorBidi"/>
      <w:color w:val="7B7B7B" w:themeColor="accent3" w:themeShade="BF"/>
      <w:sz w:val="22"/>
      <w:szCs w:val="22"/>
      <w:lang w:val="en-MY"/>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5A5A5"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5A5A5"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5A5A5"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5A5A5" w:themeColor="accent3"/>
        </w:tcBorders>
        <w:shd w:val="clear" w:color="auto" w:fill="FFFFFF" w:themeFill="background1"/>
      </w:tcPr>
    </w:tblStylePr>
    <w:tblStylePr w:type="band1Vert">
      <w:tblPr/>
      <w:tcPr>
        <w:shd w:val="clear" w:color="auto" w:fill="EDEDED" w:themeFill="accent3" w:themeFillTint="33"/>
      </w:tcPr>
    </w:tblStylePr>
    <w:tblStylePr w:type="band1Horz">
      <w:tblPr/>
      <w:tcPr>
        <w:shd w:val="clear" w:color="auto" w:fill="EDEDE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6Colorful-Accent3">
    <w:name w:val="List Table 6 Colorful Accent 3"/>
    <w:basedOn w:val="TableNormal"/>
    <w:uiPriority w:val="51"/>
    <w:rsid w:val="00DE4084"/>
    <w:rPr>
      <w:rFonts w:asciiTheme="minorHAnsi" w:eastAsia="SimSun" w:hAnsiTheme="minorHAnsi" w:cstheme="minorBidi"/>
      <w:color w:val="7B7B7B" w:themeColor="accent3" w:themeShade="BF"/>
      <w:sz w:val="22"/>
      <w:szCs w:val="22"/>
      <w:lang w:val="en-MY"/>
    </w:rPr>
    <w:tblPr>
      <w:tblStyleRowBandSize w:val="1"/>
      <w:tblStyleColBandSize w:val="1"/>
      <w:tblBorders>
        <w:top w:val="single" w:sz="4" w:space="0" w:color="A5A5A5" w:themeColor="accent3"/>
        <w:bottom w:val="single" w:sz="4" w:space="0" w:color="A5A5A5" w:themeColor="accent3"/>
      </w:tblBorders>
    </w:tblPr>
    <w:tblStylePr w:type="firstRow">
      <w:rPr>
        <w:b/>
        <w:bCs/>
      </w:rPr>
      <w:tblPr/>
      <w:tcPr>
        <w:tcBorders>
          <w:bottom w:val="single" w:sz="4" w:space="0" w:color="A5A5A5" w:themeColor="accent3"/>
        </w:tcBorders>
      </w:tcPr>
    </w:tblStylePr>
    <w:tblStylePr w:type="lastRow">
      <w:rPr>
        <w:b/>
        <w:bCs/>
      </w:rPr>
      <w:tblPr/>
      <w:tcPr>
        <w:tcBorders>
          <w:top w:val="double" w:sz="4" w:space="0" w:color="A5A5A5" w:themeColor="accent3"/>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numbering" w:customStyle="1" w:styleId="NoList1">
    <w:name w:val="No List1"/>
    <w:next w:val="NoList"/>
    <w:uiPriority w:val="99"/>
    <w:semiHidden/>
    <w:unhideWhenUsed/>
    <w:rsid w:val="00DE4084"/>
  </w:style>
  <w:style w:type="character" w:customStyle="1" w:styleId="16">
    <w:name w:val="16"/>
    <w:basedOn w:val="DefaultParagraphFont"/>
    <w:qFormat/>
    <w:rsid w:val="00DE4084"/>
    <w:rPr>
      <w:rFonts w:ascii="Calibri" w:hAnsi="Calibri" w:cs="Calibri" w:hint="default"/>
      <w:color w:val="0000FF"/>
      <w:u w:val="single"/>
    </w:rPr>
  </w:style>
  <w:style w:type="table" w:customStyle="1" w:styleId="PlainTable21">
    <w:name w:val="Plain Table 21"/>
    <w:basedOn w:val="TableNormal"/>
    <w:next w:val="PlainTable2"/>
    <w:uiPriority w:val="42"/>
    <w:rsid w:val="00DE4084"/>
    <w:rPr>
      <w:rFonts w:asciiTheme="minorHAnsi" w:eastAsia="Calibri" w:hAnsiTheme="minorHAnsi" w:cstheme="minorBidi"/>
      <w:sz w:val="20"/>
      <w:szCs w:val="20"/>
      <w:lang w:val="en-US"/>
    </w:rPr>
    <w:tblPr>
      <w:tblStyleRowBandSize w:val="1"/>
      <w:tblStyleColBandSize w:val="1"/>
      <w:tblBorders>
        <w:top w:val="single" w:sz="4" w:space="0" w:color="7F7F7F"/>
        <w:bottom w:val="single" w:sz="4" w:space="0" w:color="7F7F7F"/>
      </w:tblBorders>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table" w:customStyle="1" w:styleId="PlainTable11">
    <w:name w:val="Plain Table 11"/>
    <w:basedOn w:val="TableNormal"/>
    <w:next w:val="PlainTable1"/>
    <w:uiPriority w:val="41"/>
    <w:rsid w:val="00DE4084"/>
    <w:rPr>
      <w:rFonts w:asciiTheme="minorHAnsi" w:eastAsia="Calibri" w:hAnsiTheme="minorHAnsi" w:cstheme="minorBidi"/>
      <w:sz w:val="22"/>
      <w:szCs w:val="22"/>
      <w:lang w:val="en-US"/>
    </w:rPr>
    <w:tblPr>
      <w:tblStyleRowBandSize w:val="1"/>
      <w:tblStyleColBandSize w:val="1"/>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tblStylePr w:type="firstRow">
      <w:rPr>
        <w:b/>
        <w:bCs/>
      </w:rPr>
    </w:tblStylePr>
    <w:tblStylePr w:type="lastRow">
      <w:rPr>
        <w:b/>
        <w:bCs/>
      </w:rPr>
      <w:tblPr/>
      <w:tcPr>
        <w:tcBorders>
          <w:top w:val="double" w:sz="4" w:space="0" w:color="BFBFBF"/>
        </w:tcBorders>
      </w:tc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character" w:customStyle="1" w:styleId="Hyperlink1">
    <w:name w:val="Hyperlink1"/>
    <w:basedOn w:val="DefaultParagraphFont"/>
    <w:uiPriority w:val="99"/>
    <w:unhideWhenUsed/>
    <w:rsid w:val="00DE4084"/>
    <w:rPr>
      <w:color w:val="0563C1"/>
      <w:u w:val="single"/>
    </w:rPr>
  </w:style>
  <w:style w:type="character" w:customStyle="1" w:styleId="UnresolvedMention1">
    <w:name w:val="Unresolved Mention1"/>
    <w:basedOn w:val="DefaultParagraphFont"/>
    <w:uiPriority w:val="99"/>
    <w:semiHidden/>
    <w:unhideWhenUsed/>
    <w:rsid w:val="00DE4084"/>
    <w:rPr>
      <w:color w:val="605E5C"/>
      <w:shd w:val="clear" w:color="auto" w:fill="E1DFDD"/>
    </w:rPr>
  </w:style>
  <w:style w:type="paragraph" w:styleId="HTMLPreformatted">
    <w:name w:val="HTML Preformatted"/>
    <w:basedOn w:val="Normal"/>
    <w:link w:val="HTMLPreformattedChar"/>
    <w:uiPriority w:val="99"/>
    <w:semiHidden/>
    <w:unhideWhenUsed/>
    <w:rsid w:val="00DE40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Times New Roman" w:hAnsi="Courier New" w:cs="Courier New"/>
      <w:sz w:val="20"/>
      <w:szCs w:val="20"/>
      <w:lang w:val="en-US" w:eastAsia="en-US"/>
    </w:rPr>
  </w:style>
  <w:style w:type="character" w:customStyle="1" w:styleId="HTMLPreformattedChar">
    <w:name w:val="HTML Preformatted Char"/>
    <w:basedOn w:val="DefaultParagraphFont"/>
    <w:link w:val="HTMLPreformatted"/>
    <w:uiPriority w:val="99"/>
    <w:semiHidden/>
    <w:rsid w:val="00DE4084"/>
    <w:rPr>
      <w:rFonts w:ascii="Courier New" w:hAnsi="Courier New" w:cs="Courier New"/>
      <w:sz w:val="20"/>
      <w:szCs w:val="20"/>
      <w:lang w:val="en-US"/>
    </w:rPr>
  </w:style>
  <w:style w:type="character" w:customStyle="1" w:styleId="y2iqfc">
    <w:name w:val="y2iqfc"/>
    <w:basedOn w:val="DefaultParagraphFont"/>
    <w:rsid w:val="00DE4084"/>
  </w:style>
  <w:style w:type="paragraph" w:styleId="Revision">
    <w:name w:val="Revision"/>
    <w:hidden/>
    <w:uiPriority w:val="99"/>
    <w:semiHidden/>
    <w:rsid w:val="00DE4084"/>
    <w:rPr>
      <w:rFonts w:asciiTheme="minorHAnsi" w:eastAsia="Calibri" w:hAnsiTheme="minorHAnsi" w:cstheme="minorBidi"/>
      <w:sz w:val="22"/>
      <w:szCs w:val="22"/>
      <w:lang w:val="en-US"/>
    </w:rPr>
  </w:style>
  <w:style w:type="character" w:customStyle="1" w:styleId="UnresolvedMention2">
    <w:name w:val="Unresolved Mention2"/>
    <w:basedOn w:val="DefaultParagraphFont"/>
    <w:uiPriority w:val="99"/>
    <w:semiHidden/>
    <w:unhideWhenUsed/>
    <w:rsid w:val="00DE4084"/>
    <w:rPr>
      <w:color w:val="605E5C"/>
      <w:shd w:val="clear" w:color="auto" w:fill="E1DFDD"/>
    </w:rPr>
  </w:style>
  <w:style w:type="paragraph" w:customStyle="1" w:styleId="TOCHeading1">
    <w:name w:val="TOC Heading1"/>
    <w:basedOn w:val="Heading1"/>
    <w:next w:val="Normal"/>
    <w:uiPriority w:val="39"/>
    <w:unhideWhenUsed/>
    <w:qFormat/>
    <w:rsid w:val="00DE4084"/>
    <w:pPr>
      <w:keepNext/>
      <w:keepLines/>
      <w:spacing w:before="240" w:beforeAutospacing="0" w:after="0" w:afterAutospacing="0" w:line="259" w:lineRule="auto"/>
      <w:outlineLvl w:val="9"/>
    </w:pPr>
    <w:rPr>
      <w:rFonts w:ascii="Calibri Light" w:eastAsia="DengXian Light" w:hAnsi="Calibri Light"/>
      <w:b w:val="0"/>
      <w:bCs w:val="0"/>
      <w:color w:val="2F5496"/>
      <w:kern w:val="0"/>
      <w:sz w:val="32"/>
      <w:szCs w:val="32"/>
    </w:rPr>
  </w:style>
  <w:style w:type="paragraph" w:customStyle="1" w:styleId="TOC21">
    <w:name w:val="TOC 21"/>
    <w:basedOn w:val="Normal"/>
    <w:next w:val="Normal"/>
    <w:autoRedefine/>
    <w:uiPriority w:val="39"/>
    <w:unhideWhenUsed/>
    <w:rsid w:val="00DE4084"/>
    <w:pPr>
      <w:spacing w:after="100" w:line="259" w:lineRule="auto"/>
      <w:ind w:left="220"/>
    </w:pPr>
    <w:rPr>
      <w:rFonts w:asciiTheme="minorHAnsi" w:eastAsiaTheme="minorEastAsia" w:hAnsiTheme="minorHAnsi"/>
      <w:sz w:val="22"/>
      <w:szCs w:val="22"/>
      <w:lang w:val="en-US" w:eastAsia="en-US"/>
    </w:rPr>
  </w:style>
  <w:style w:type="paragraph" w:customStyle="1" w:styleId="TOC11">
    <w:name w:val="TOC 11"/>
    <w:basedOn w:val="Normal"/>
    <w:next w:val="Normal"/>
    <w:autoRedefine/>
    <w:uiPriority w:val="39"/>
    <w:unhideWhenUsed/>
    <w:rsid w:val="00DE4084"/>
    <w:pPr>
      <w:spacing w:after="100" w:line="259" w:lineRule="auto"/>
    </w:pPr>
    <w:rPr>
      <w:rFonts w:asciiTheme="minorHAnsi" w:eastAsiaTheme="minorEastAsia" w:hAnsiTheme="minorHAnsi"/>
      <w:sz w:val="22"/>
      <w:szCs w:val="22"/>
      <w:lang w:val="en-US" w:eastAsia="en-US"/>
    </w:rPr>
  </w:style>
  <w:style w:type="paragraph" w:customStyle="1" w:styleId="TOC31">
    <w:name w:val="TOC 31"/>
    <w:basedOn w:val="Normal"/>
    <w:next w:val="Normal"/>
    <w:autoRedefine/>
    <w:uiPriority w:val="39"/>
    <w:unhideWhenUsed/>
    <w:rsid w:val="00DE4084"/>
    <w:pPr>
      <w:spacing w:after="100" w:line="259" w:lineRule="auto"/>
      <w:ind w:left="440"/>
    </w:pPr>
    <w:rPr>
      <w:rFonts w:eastAsiaTheme="minorEastAsia"/>
      <w:lang w:val="en-US" w:eastAsia="en-US"/>
    </w:rPr>
  </w:style>
  <w:style w:type="table" w:styleId="PlainTable1">
    <w:name w:val="Plain Table 1"/>
    <w:basedOn w:val="TableNormal"/>
    <w:uiPriority w:val="41"/>
    <w:rsid w:val="00DE4084"/>
    <w:rPr>
      <w:rFonts w:asciiTheme="minorHAnsi" w:eastAsia="SimSun" w:hAnsiTheme="minorHAnsi" w:cstheme="minorBidi"/>
      <w:sz w:val="22"/>
      <w:szCs w:val="22"/>
      <w:lang w:val="en-MY"/>
    </w:r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GridTable1Light-Accent1">
    <w:name w:val="Grid Table 1 Light Accent 1"/>
    <w:basedOn w:val="TableNormal"/>
    <w:uiPriority w:val="46"/>
    <w:rsid w:val="00DE4084"/>
    <w:rPr>
      <w:rFonts w:asciiTheme="minorHAnsi" w:eastAsia="SimSun" w:hAnsiTheme="minorHAnsi" w:cstheme="minorBidi"/>
      <w:sz w:val="22"/>
      <w:szCs w:val="22"/>
      <w:lang w:val="en-MY"/>
    </w:rPr>
    <w:tblPr>
      <w:tblStyleRowBandSize w:val="1"/>
      <w:tblStyleColBandSize w:val="1"/>
      <w:tblBorders>
        <w:top w:val="single" w:sz="4" w:space="0" w:color="B4C6E7" w:themeColor="accent1" w:themeTint="66"/>
        <w:left w:val="single" w:sz="4" w:space="0" w:color="B4C6E7" w:themeColor="accent1" w:themeTint="66"/>
        <w:bottom w:val="single" w:sz="4" w:space="0" w:color="B4C6E7" w:themeColor="accent1" w:themeTint="66"/>
        <w:right w:val="single" w:sz="4" w:space="0" w:color="B4C6E7" w:themeColor="accent1" w:themeTint="66"/>
        <w:insideH w:val="single" w:sz="4" w:space="0" w:color="B4C6E7" w:themeColor="accent1" w:themeTint="66"/>
        <w:insideV w:val="single" w:sz="4" w:space="0" w:color="B4C6E7" w:themeColor="accent1" w:themeTint="66"/>
      </w:tblBorders>
    </w:tblPr>
    <w:tblStylePr w:type="firstRow">
      <w:rPr>
        <w:b/>
        <w:bCs/>
      </w:rPr>
      <w:tblPr/>
      <w:tcPr>
        <w:tcBorders>
          <w:bottom w:val="single" w:sz="12" w:space="0" w:color="8EAADB" w:themeColor="accent1" w:themeTint="99"/>
        </w:tcBorders>
      </w:tcPr>
    </w:tblStylePr>
    <w:tblStylePr w:type="lastRow">
      <w:rPr>
        <w:b/>
        <w:bCs/>
      </w:rPr>
      <w:tblPr/>
      <w:tcPr>
        <w:tcBorders>
          <w:top w:val="double" w:sz="2" w:space="0" w:color="8EAADB" w:themeColor="accent1" w:themeTint="99"/>
        </w:tcBorders>
      </w:tcPr>
    </w:tblStylePr>
    <w:tblStylePr w:type="firstCol">
      <w:rPr>
        <w:b/>
        <w:bCs/>
      </w:rPr>
    </w:tblStylePr>
    <w:tblStylePr w:type="lastCol">
      <w:rPr>
        <w:b/>
        <w:bCs/>
      </w:rPr>
    </w:tblStylePr>
  </w:style>
  <w:style w:type="table" w:styleId="GridTable1Light">
    <w:name w:val="Grid Table 1 Light"/>
    <w:basedOn w:val="TableNormal"/>
    <w:uiPriority w:val="46"/>
    <w:rsid w:val="00DE4084"/>
    <w:rPr>
      <w:rFonts w:asciiTheme="minorHAnsi" w:eastAsia="SimSun" w:hAnsiTheme="minorHAnsi" w:cstheme="minorBidi"/>
      <w:sz w:val="22"/>
      <w:szCs w:val="22"/>
      <w:lang w:val="en-MY"/>
    </w:r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3054348">
      <w:bodyDiv w:val="1"/>
      <w:marLeft w:val="0"/>
      <w:marRight w:val="0"/>
      <w:marTop w:val="0"/>
      <w:marBottom w:val="0"/>
      <w:divBdr>
        <w:top w:val="none" w:sz="0" w:space="0" w:color="auto"/>
        <w:left w:val="none" w:sz="0" w:space="0" w:color="auto"/>
        <w:bottom w:val="none" w:sz="0" w:space="0" w:color="auto"/>
        <w:right w:val="none" w:sz="0" w:space="0" w:color="auto"/>
      </w:divBdr>
    </w:div>
    <w:div w:id="415630991">
      <w:bodyDiv w:val="1"/>
      <w:marLeft w:val="0"/>
      <w:marRight w:val="0"/>
      <w:marTop w:val="0"/>
      <w:marBottom w:val="0"/>
      <w:divBdr>
        <w:top w:val="none" w:sz="0" w:space="0" w:color="auto"/>
        <w:left w:val="none" w:sz="0" w:space="0" w:color="auto"/>
        <w:bottom w:val="none" w:sz="0" w:space="0" w:color="auto"/>
        <w:right w:val="none" w:sz="0" w:space="0" w:color="auto"/>
      </w:divBdr>
      <w:divsChild>
        <w:div w:id="2065786681">
          <w:marLeft w:val="0"/>
          <w:marRight w:val="0"/>
          <w:marTop w:val="0"/>
          <w:marBottom w:val="0"/>
          <w:divBdr>
            <w:top w:val="none" w:sz="0" w:space="0" w:color="auto"/>
            <w:left w:val="none" w:sz="0" w:space="0" w:color="auto"/>
            <w:bottom w:val="none" w:sz="0" w:space="0" w:color="auto"/>
            <w:right w:val="none" w:sz="0" w:space="0" w:color="auto"/>
          </w:divBdr>
        </w:div>
        <w:div w:id="375544695">
          <w:marLeft w:val="0"/>
          <w:marRight w:val="0"/>
          <w:marTop w:val="0"/>
          <w:marBottom w:val="0"/>
          <w:divBdr>
            <w:top w:val="none" w:sz="0" w:space="0" w:color="auto"/>
            <w:left w:val="none" w:sz="0" w:space="0" w:color="auto"/>
            <w:bottom w:val="none" w:sz="0" w:space="0" w:color="auto"/>
            <w:right w:val="none" w:sz="0" w:space="0" w:color="auto"/>
          </w:divBdr>
        </w:div>
      </w:divsChild>
    </w:div>
    <w:div w:id="422336380">
      <w:bodyDiv w:val="1"/>
      <w:marLeft w:val="0"/>
      <w:marRight w:val="0"/>
      <w:marTop w:val="0"/>
      <w:marBottom w:val="0"/>
      <w:divBdr>
        <w:top w:val="none" w:sz="0" w:space="0" w:color="auto"/>
        <w:left w:val="none" w:sz="0" w:space="0" w:color="auto"/>
        <w:bottom w:val="none" w:sz="0" w:space="0" w:color="auto"/>
        <w:right w:val="none" w:sz="0" w:space="0" w:color="auto"/>
      </w:divBdr>
      <w:divsChild>
        <w:div w:id="784688483">
          <w:marLeft w:val="0"/>
          <w:marRight w:val="0"/>
          <w:marTop w:val="0"/>
          <w:marBottom w:val="0"/>
          <w:divBdr>
            <w:top w:val="none" w:sz="0" w:space="0" w:color="auto"/>
            <w:left w:val="none" w:sz="0" w:space="0" w:color="auto"/>
            <w:bottom w:val="none" w:sz="0" w:space="0" w:color="auto"/>
            <w:right w:val="none" w:sz="0" w:space="0" w:color="auto"/>
          </w:divBdr>
        </w:div>
        <w:div w:id="764616967">
          <w:marLeft w:val="0"/>
          <w:marRight w:val="0"/>
          <w:marTop w:val="0"/>
          <w:marBottom w:val="0"/>
          <w:divBdr>
            <w:top w:val="none" w:sz="0" w:space="0" w:color="auto"/>
            <w:left w:val="none" w:sz="0" w:space="0" w:color="auto"/>
            <w:bottom w:val="none" w:sz="0" w:space="0" w:color="auto"/>
            <w:right w:val="none" w:sz="0" w:space="0" w:color="auto"/>
          </w:divBdr>
        </w:div>
      </w:divsChild>
    </w:div>
    <w:div w:id="635838811">
      <w:bodyDiv w:val="1"/>
      <w:marLeft w:val="0"/>
      <w:marRight w:val="0"/>
      <w:marTop w:val="0"/>
      <w:marBottom w:val="0"/>
      <w:divBdr>
        <w:top w:val="none" w:sz="0" w:space="0" w:color="auto"/>
        <w:left w:val="none" w:sz="0" w:space="0" w:color="auto"/>
        <w:bottom w:val="none" w:sz="0" w:space="0" w:color="auto"/>
        <w:right w:val="none" w:sz="0" w:space="0" w:color="auto"/>
      </w:divBdr>
    </w:div>
    <w:div w:id="719087684">
      <w:bodyDiv w:val="1"/>
      <w:marLeft w:val="0"/>
      <w:marRight w:val="0"/>
      <w:marTop w:val="0"/>
      <w:marBottom w:val="0"/>
      <w:divBdr>
        <w:top w:val="none" w:sz="0" w:space="0" w:color="auto"/>
        <w:left w:val="none" w:sz="0" w:space="0" w:color="auto"/>
        <w:bottom w:val="none" w:sz="0" w:space="0" w:color="auto"/>
        <w:right w:val="none" w:sz="0" w:space="0" w:color="auto"/>
      </w:divBdr>
    </w:div>
    <w:div w:id="732701190">
      <w:bodyDiv w:val="1"/>
      <w:marLeft w:val="0"/>
      <w:marRight w:val="0"/>
      <w:marTop w:val="0"/>
      <w:marBottom w:val="0"/>
      <w:divBdr>
        <w:top w:val="none" w:sz="0" w:space="0" w:color="auto"/>
        <w:left w:val="none" w:sz="0" w:space="0" w:color="auto"/>
        <w:bottom w:val="none" w:sz="0" w:space="0" w:color="auto"/>
        <w:right w:val="none" w:sz="0" w:space="0" w:color="auto"/>
      </w:divBdr>
    </w:div>
    <w:div w:id="819270149">
      <w:bodyDiv w:val="1"/>
      <w:marLeft w:val="0"/>
      <w:marRight w:val="0"/>
      <w:marTop w:val="0"/>
      <w:marBottom w:val="0"/>
      <w:divBdr>
        <w:top w:val="none" w:sz="0" w:space="0" w:color="auto"/>
        <w:left w:val="none" w:sz="0" w:space="0" w:color="auto"/>
        <w:bottom w:val="none" w:sz="0" w:space="0" w:color="auto"/>
        <w:right w:val="none" w:sz="0" w:space="0" w:color="auto"/>
      </w:divBdr>
    </w:div>
    <w:div w:id="1095054588">
      <w:bodyDiv w:val="1"/>
      <w:marLeft w:val="0"/>
      <w:marRight w:val="0"/>
      <w:marTop w:val="0"/>
      <w:marBottom w:val="0"/>
      <w:divBdr>
        <w:top w:val="none" w:sz="0" w:space="0" w:color="auto"/>
        <w:left w:val="none" w:sz="0" w:space="0" w:color="auto"/>
        <w:bottom w:val="none" w:sz="0" w:space="0" w:color="auto"/>
        <w:right w:val="none" w:sz="0" w:space="0" w:color="auto"/>
      </w:divBdr>
    </w:div>
    <w:div w:id="1207444921">
      <w:bodyDiv w:val="1"/>
      <w:marLeft w:val="0"/>
      <w:marRight w:val="0"/>
      <w:marTop w:val="0"/>
      <w:marBottom w:val="0"/>
      <w:divBdr>
        <w:top w:val="none" w:sz="0" w:space="0" w:color="auto"/>
        <w:left w:val="none" w:sz="0" w:space="0" w:color="auto"/>
        <w:bottom w:val="none" w:sz="0" w:space="0" w:color="auto"/>
        <w:right w:val="none" w:sz="0" w:space="0" w:color="auto"/>
      </w:divBdr>
    </w:div>
    <w:div w:id="1246502071">
      <w:bodyDiv w:val="1"/>
      <w:marLeft w:val="0"/>
      <w:marRight w:val="0"/>
      <w:marTop w:val="0"/>
      <w:marBottom w:val="0"/>
      <w:divBdr>
        <w:top w:val="none" w:sz="0" w:space="0" w:color="auto"/>
        <w:left w:val="none" w:sz="0" w:space="0" w:color="auto"/>
        <w:bottom w:val="none" w:sz="0" w:space="0" w:color="auto"/>
        <w:right w:val="none" w:sz="0" w:space="0" w:color="auto"/>
      </w:divBdr>
    </w:div>
    <w:div w:id="1251741252">
      <w:bodyDiv w:val="1"/>
      <w:marLeft w:val="0"/>
      <w:marRight w:val="0"/>
      <w:marTop w:val="0"/>
      <w:marBottom w:val="0"/>
      <w:divBdr>
        <w:top w:val="none" w:sz="0" w:space="0" w:color="auto"/>
        <w:left w:val="none" w:sz="0" w:space="0" w:color="auto"/>
        <w:bottom w:val="none" w:sz="0" w:space="0" w:color="auto"/>
        <w:right w:val="none" w:sz="0" w:space="0" w:color="auto"/>
      </w:divBdr>
    </w:div>
    <w:div w:id="1322583170">
      <w:bodyDiv w:val="1"/>
      <w:marLeft w:val="0"/>
      <w:marRight w:val="0"/>
      <w:marTop w:val="0"/>
      <w:marBottom w:val="0"/>
      <w:divBdr>
        <w:top w:val="none" w:sz="0" w:space="0" w:color="auto"/>
        <w:left w:val="none" w:sz="0" w:space="0" w:color="auto"/>
        <w:bottom w:val="none" w:sz="0" w:space="0" w:color="auto"/>
        <w:right w:val="none" w:sz="0" w:space="0" w:color="auto"/>
      </w:divBdr>
    </w:div>
    <w:div w:id="1368947600">
      <w:bodyDiv w:val="1"/>
      <w:marLeft w:val="0"/>
      <w:marRight w:val="0"/>
      <w:marTop w:val="0"/>
      <w:marBottom w:val="0"/>
      <w:divBdr>
        <w:top w:val="none" w:sz="0" w:space="0" w:color="auto"/>
        <w:left w:val="none" w:sz="0" w:space="0" w:color="auto"/>
        <w:bottom w:val="none" w:sz="0" w:space="0" w:color="auto"/>
        <w:right w:val="none" w:sz="0" w:space="0" w:color="auto"/>
      </w:divBdr>
    </w:div>
    <w:div w:id="1422798704">
      <w:bodyDiv w:val="1"/>
      <w:marLeft w:val="0"/>
      <w:marRight w:val="0"/>
      <w:marTop w:val="0"/>
      <w:marBottom w:val="0"/>
      <w:divBdr>
        <w:top w:val="none" w:sz="0" w:space="0" w:color="auto"/>
        <w:left w:val="none" w:sz="0" w:space="0" w:color="auto"/>
        <w:bottom w:val="none" w:sz="0" w:space="0" w:color="auto"/>
        <w:right w:val="none" w:sz="0" w:space="0" w:color="auto"/>
      </w:divBdr>
      <w:divsChild>
        <w:div w:id="1759598363">
          <w:marLeft w:val="0"/>
          <w:marRight w:val="0"/>
          <w:marTop w:val="0"/>
          <w:marBottom w:val="0"/>
          <w:divBdr>
            <w:top w:val="none" w:sz="0" w:space="0" w:color="auto"/>
            <w:left w:val="none" w:sz="0" w:space="0" w:color="auto"/>
            <w:bottom w:val="none" w:sz="0" w:space="0" w:color="auto"/>
            <w:right w:val="none" w:sz="0" w:space="0" w:color="auto"/>
          </w:divBdr>
        </w:div>
      </w:divsChild>
    </w:div>
    <w:div w:id="1617519881">
      <w:bodyDiv w:val="1"/>
      <w:marLeft w:val="0"/>
      <w:marRight w:val="0"/>
      <w:marTop w:val="0"/>
      <w:marBottom w:val="0"/>
      <w:divBdr>
        <w:top w:val="none" w:sz="0" w:space="0" w:color="auto"/>
        <w:left w:val="none" w:sz="0" w:space="0" w:color="auto"/>
        <w:bottom w:val="none" w:sz="0" w:space="0" w:color="auto"/>
        <w:right w:val="none" w:sz="0" w:space="0" w:color="auto"/>
      </w:divBdr>
      <w:divsChild>
        <w:div w:id="1782141190">
          <w:marLeft w:val="0"/>
          <w:marRight w:val="0"/>
          <w:marTop w:val="0"/>
          <w:marBottom w:val="0"/>
          <w:divBdr>
            <w:top w:val="none" w:sz="0" w:space="0" w:color="auto"/>
            <w:left w:val="none" w:sz="0" w:space="0" w:color="auto"/>
            <w:bottom w:val="none" w:sz="0" w:space="0" w:color="auto"/>
            <w:right w:val="none" w:sz="0" w:space="0" w:color="auto"/>
          </w:divBdr>
        </w:div>
      </w:divsChild>
    </w:div>
    <w:div w:id="1798600397">
      <w:bodyDiv w:val="1"/>
      <w:marLeft w:val="0"/>
      <w:marRight w:val="0"/>
      <w:marTop w:val="0"/>
      <w:marBottom w:val="0"/>
      <w:divBdr>
        <w:top w:val="none" w:sz="0" w:space="0" w:color="auto"/>
        <w:left w:val="none" w:sz="0" w:space="0" w:color="auto"/>
        <w:bottom w:val="none" w:sz="0" w:space="0" w:color="auto"/>
        <w:right w:val="none" w:sz="0" w:space="0" w:color="auto"/>
      </w:divBdr>
    </w:div>
    <w:div w:id="1818764209">
      <w:bodyDiv w:val="1"/>
      <w:marLeft w:val="0"/>
      <w:marRight w:val="0"/>
      <w:marTop w:val="0"/>
      <w:marBottom w:val="0"/>
      <w:divBdr>
        <w:top w:val="none" w:sz="0" w:space="0" w:color="auto"/>
        <w:left w:val="none" w:sz="0" w:space="0" w:color="auto"/>
        <w:bottom w:val="none" w:sz="0" w:space="0" w:color="auto"/>
        <w:right w:val="none" w:sz="0" w:space="0" w:color="auto"/>
      </w:divBdr>
    </w:div>
    <w:div w:id="1831022223">
      <w:bodyDiv w:val="1"/>
      <w:marLeft w:val="0"/>
      <w:marRight w:val="0"/>
      <w:marTop w:val="0"/>
      <w:marBottom w:val="0"/>
      <w:divBdr>
        <w:top w:val="none" w:sz="0" w:space="0" w:color="auto"/>
        <w:left w:val="none" w:sz="0" w:space="0" w:color="auto"/>
        <w:bottom w:val="none" w:sz="0" w:space="0" w:color="auto"/>
        <w:right w:val="none" w:sz="0" w:space="0" w:color="auto"/>
      </w:divBdr>
      <w:divsChild>
        <w:div w:id="1869757348">
          <w:marLeft w:val="0"/>
          <w:marRight w:val="0"/>
          <w:marTop w:val="0"/>
          <w:marBottom w:val="0"/>
          <w:divBdr>
            <w:top w:val="none" w:sz="0" w:space="0" w:color="auto"/>
            <w:left w:val="none" w:sz="0" w:space="0" w:color="auto"/>
            <w:bottom w:val="none" w:sz="0" w:space="0" w:color="auto"/>
            <w:right w:val="none" w:sz="0" w:space="0" w:color="auto"/>
          </w:divBdr>
        </w:div>
        <w:div w:id="1282759546">
          <w:marLeft w:val="0"/>
          <w:marRight w:val="0"/>
          <w:marTop w:val="0"/>
          <w:marBottom w:val="0"/>
          <w:divBdr>
            <w:top w:val="none" w:sz="0" w:space="0" w:color="auto"/>
            <w:left w:val="none" w:sz="0" w:space="0" w:color="auto"/>
            <w:bottom w:val="none" w:sz="0" w:space="0" w:color="auto"/>
            <w:right w:val="none" w:sz="0" w:space="0" w:color="auto"/>
          </w:divBdr>
        </w:div>
      </w:divsChild>
    </w:div>
    <w:div w:id="1906993136">
      <w:bodyDiv w:val="1"/>
      <w:marLeft w:val="0"/>
      <w:marRight w:val="0"/>
      <w:marTop w:val="0"/>
      <w:marBottom w:val="0"/>
      <w:divBdr>
        <w:top w:val="none" w:sz="0" w:space="0" w:color="auto"/>
        <w:left w:val="none" w:sz="0" w:space="0" w:color="auto"/>
        <w:bottom w:val="none" w:sz="0" w:space="0" w:color="auto"/>
        <w:right w:val="none" w:sz="0" w:space="0" w:color="auto"/>
      </w:divBdr>
    </w:div>
    <w:div w:id="2015765002">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https://doi.org/10.1016/j.est.2021.102664" TargetMode="External"/><Relationship Id="rId21" Type="http://schemas.openxmlformats.org/officeDocument/2006/relationships/chart" Target="charts/chart2.xml"/><Relationship Id="rId34" Type="http://schemas.openxmlformats.org/officeDocument/2006/relationships/hyperlink" Target="https://doi.org/10.1590/S1984-82502015000100007" TargetMode="External"/><Relationship Id="rId42" Type="http://schemas.openxmlformats.org/officeDocument/2006/relationships/hyperlink" Target="http://dx.doi.org/10.22159/ajpcr.2018.v11i3.22056" TargetMode="External"/><Relationship Id="rId47" Type="http://schemas.openxmlformats.org/officeDocument/2006/relationships/hyperlink" Target="https://doi.org/10.1080/01490450590947724" TargetMode="External"/><Relationship Id="rId50" Type="http://schemas.openxmlformats.org/officeDocument/2006/relationships/hyperlink" Target="https://doi.org/10.1007/s40257-024-00851-6" TargetMode="External"/><Relationship Id="rId55" Type="http://schemas.openxmlformats.org/officeDocument/2006/relationships/hyperlink" Target="https://doi.org/10.1016/j.imu.2017.10.005" TargetMode="External"/><Relationship Id="rId63" Type="http://schemas.openxmlformats.org/officeDocument/2006/relationships/header" Target="header3.xml"/><Relationship Id="rId7" Type="http://schemas.openxmlformats.org/officeDocument/2006/relationships/footnotes" Target="footnotes.xml"/><Relationship Id="rId2" Type="http://schemas.openxmlformats.org/officeDocument/2006/relationships/customXml" Target="../customXml/item2.xml"/><Relationship Id="rId16" Type="http://schemas.openxmlformats.org/officeDocument/2006/relationships/image" Target="media/image7.jpeg"/><Relationship Id="rId29" Type="http://schemas.openxmlformats.org/officeDocument/2006/relationships/hyperlink" Target="https://doi.org/10.1155/2016/5754349" TargetMode="External"/><Relationship Id="rId11" Type="http://schemas.openxmlformats.org/officeDocument/2006/relationships/hyperlink" Target="mailto:vikneswari_perumal@msu.edu.my" TargetMode="External"/><Relationship Id="rId24" Type="http://schemas.openxmlformats.org/officeDocument/2006/relationships/chart" Target="charts/chart5.xml"/><Relationship Id="rId32" Type="http://schemas.openxmlformats.org/officeDocument/2006/relationships/hyperlink" Target="https://jcadonline.com/moisturizers-for-acne-what-are-their-constituents/" TargetMode="External"/><Relationship Id="rId37" Type="http://schemas.openxmlformats.org/officeDocument/2006/relationships/hyperlink" Target="https://doi.org/10.9734/JPRI/2020/v32i3530976" TargetMode="External"/><Relationship Id="rId40" Type="http://schemas.openxmlformats.org/officeDocument/2006/relationships/hyperlink" Target="https://doi.org/10.1016/j.indcrop.2024.118191" TargetMode="External"/><Relationship Id="rId45" Type="http://schemas.openxmlformats.org/officeDocument/2006/relationships/hyperlink" Target="https://doi.org/10.1016/j.hermed.2024.100869" TargetMode="External"/><Relationship Id="rId53" Type="http://schemas.openxmlformats.org/officeDocument/2006/relationships/hyperlink" Target="https://doi.org/10.1016/j.ijwd.2017.10.006" TargetMode="External"/><Relationship Id="rId58" Type="http://schemas.openxmlformats.org/officeDocument/2006/relationships/hyperlink" Target="https://doi.org/10.1007/s10096-024-04984-8" TargetMode="External"/><Relationship Id="rId66" Type="http://schemas.openxmlformats.org/officeDocument/2006/relationships/theme" Target="theme/theme1.xml"/><Relationship Id="rId5" Type="http://schemas.openxmlformats.org/officeDocument/2006/relationships/settings" Target="settings.xml"/><Relationship Id="rId61" Type="http://schemas.openxmlformats.org/officeDocument/2006/relationships/footer" Target="footer1.xml"/><Relationship Id="rId19" Type="http://schemas.openxmlformats.org/officeDocument/2006/relationships/image" Target="media/image10.jpeg"/><Relationship Id="rId14" Type="http://schemas.openxmlformats.org/officeDocument/2006/relationships/image" Target="media/image5.jpeg"/><Relationship Id="rId22" Type="http://schemas.openxmlformats.org/officeDocument/2006/relationships/chart" Target="charts/chart3.xml"/><Relationship Id="rId27" Type="http://schemas.openxmlformats.org/officeDocument/2006/relationships/hyperlink" Target="https://doi.org/10.1080/13880209.2017.1326511" TargetMode="External"/><Relationship Id="rId30" Type="http://schemas.openxmlformats.org/officeDocument/2006/relationships/hyperlink" Target="https://doi.org/10.3390/ijms161226227" TargetMode="External"/><Relationship Id="rId35" Type="http://schemas.openxmlformats.org/officeDocument/2006/relationships/hyperlink" Target="https://doi.org/10.2340/00015555-1594" TargetMode="External"/><Relationship Id="rId43" Type="http://schemas.openxmlformats.org/officeDocument/2006/relationships/hyperlink" Target="https://doi.org/10.3390/cosmetics9030061" TargetMode="External"/><Relationship Id="rId48" Type="http://schemas.openxmlformats.org/officeDocument/2006/relationships/hyperlink" Target="https://doi.org/10.1111/dth.12077" TargetMode="External"/><Relationship Id="rId56" Type="http://schemas.openxmlformats.org/officeDocument/2006/relationships/hyperlink" Target="https://openurl.ebsco.com/EPDB%3Agcd%3A8%3A20224504/detailv2?sid=ebsco%3Aplink%3Ascholar&amp;id=ebsco%3Agcd%3A169859844&amp;crl=c&amp;link_origin=scholar.google.com" TargetMode="External"/><Relationship Id="rId64" Type="http://schemas.openxmlformats.org/officeDocument/2006/relationships/footer" Target="footer3.xml"/><Relationship Id="rId8" Type="http://schemas.openxmlformats.org/officeDocument/2006/relationships/endnotes" Target="endnotes.xml"/><Relationship Id="rId51" Type="http://schemas.openxmlformats.org/officeDocument/2006/relationships/hyperlink" Target="https://doi.org/10.1016/j.arabjc.2013.02.020" TargetMode="External"/><Relationship Id="rId3" Type="http://schemas.openxmlformats.org/officeDocument/2006/relationships/numbering" Target="numbering.xml"/><Relationship Id="rId12" Type="http://schemas.openxmlformats.org/officeDocument/2006/relationships/image" Target="media/image3.png"/><Relationship Id="rId17" Type="http://schemas.openxmlformats.org/officeDocument/2006/relationships/image" Target="media/image8.jpeg"/><Relationship Id="rId25" Type="http://schemas.openxmlformats.org/officeDocument/2006/relationships/chart" Target="charts/chart6.xml"/><Relationship Id="rId33" Type="http://schemas.openxmlformats.org/officeDocument/2006/relationships/hyperlink" Target="https://doi.org/10.1155/2016/7394685" TargetMode="External"/><Relationship Id="rId38" Type="http://schemas.openxmlformats.org/officeDocument/2006/relationships/hyperlink" Target="https://doi.org/10.3390/molecules26154590" TargetMode="External"/><Relationship Id="rId46" Type="http://schemas.openxmlformats.org/officeDocument/2006/relationships/hyperlink" Target="https://doi.org/10.3390/scipharm87040032" TargetMode="External"/><Relationship Id="rId59" Type="http://schemas.openxmlformats.org/officeDocument/2006/relationships/header" Target="header1.xml"/><Relationship Id="rId20" Type="http://schemas.openxmlformats.org/officeDocument/2006/relationships/chart" Target="charts/chart1.xml"/><Relationship Id="rId41" Type="http://schemas.openxmlformats.org/officeDocument/2006/relationships/hyperlink" Target="https://doi.org/10.3390/ijms19010070" TargetMode="External"/><Relationship Id="rId54" Type="http://schemas.openxmlformats.org/officeDocument/2006/relationships/hyperlink" Target="https://doi.org/10.1136/bmj.g3489" TargetMode="External"/><Relationship Id="rId62"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webSettings" Target="webSettings.xml"/><Relationship Id="rId15" Type="http://schemas.openxmlformats.org/officeDocument/2006/relationships/image" Target="media/image6.jpeg"/><Relationship Id="rId23" Type="http://schemas.openxmlformats.org/officeDocument/2006/relationships/chart" Target="charts/chart4.xml"/><Relationship Id="rId28" Type="http://schemas.openxmlformats.org/officeDocument/2006/relationships/hyperlink" Target="https://doi.org/10.22159/ijpps.2018v10i11.28645" TargetMode="External"/><Relationship Id="rId36" Type="http://schemas.openxmlformats.org/officeDocument/2006/relationships/hyperlink" Target="https://doi.org/10.3126/jist.v25i2.33738" TargetMode="External"/><Relationship Id="rId49" Type="http://schemas.openxmlformats.org/officeDocument/2006/relationships/hyperlink" Target="https://doi.org/10.5958/0974-4614.2022.00043.2" TargetMode="External"/><Relationship Id="rId57" Type="http://schemas.openxmlformats.org/officeDocument/2006/relationships/hyperlink" Target="https://doi.org/10.1016/j.jpowsour.2012.10.019" TargetMode="External"/><Relationship Id="rId10" Type="http://schemas.openxmlformats.org/officeDocument/2006/relationships/image" Target="media/image2.jpeg"/><Relationship Id="rId31" Type="http://schemas.openxmlformats.org/officeDocument/2006/relationships/hyperlink" Target="https://doi.org/10.3122/jabfm.2016.02.150165" TargetMode="External"/><Relationship Id="rId44" Type="http://schemas.openxmlformats.org/officeDocument/2006/relationships/hyperlink" Target="https://doi.org/10.30574/gscbps.2020.13.2.0379" TargetMode="External"/><Relationship Id="rId52" Type="http://schemas.openxmlformats.org/officeDocument/2006/relationships/hyperlink" Target="https://doi.org/10.26740/lenterabio.v13n2.p236-243" TargetMode="External"/><Relationship Id="rId60" Type="http://schemas.openxmlformats.org/officeDocument/2006/relationships/header" Target="header2.xml"/><Relationship Id="rId65"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image" Target="media/image1.jpeg"/><Relationship Id="rId13" Type="http://schemas.openxmlformats.org/officeDocument/2006/relationships/image" Target="media/image4.png"/><Relationship Id="rId18" Type="http://schemas.openxmlformats.org/officeDocument/2006/relationships/image" Target="media/image9.jpeg"/><Relationship Id="rId39" Type="http://schemas.openxmlformats.org/officeDocument/2006/relationships/hyperlink" Target="https://doi.org/10.3390/cosmetics8030064" TargetMode="External"/></Relationships>
</file>

<file path=word/charts/_rels/chart1.xml.rels><?xml version="1.0" encoding="UTF-8" standalone="yes"?>
<Relationships xmlns="http://schemas.openxmlformats.org/package/2006/relationships"><Relationship Id="rId3" Type="http://schemas.openxmlformats.org/officeDocument/2006/relationships/oleObject" Target="https://d.docs.live.net/51db31bae15e7454/Desktop/FYP%20Degree/FTIR%20Test.xlsx" TargetMode="External"/><Relationship Id="rId2" Type="http://schemas.microsoft.com/office/2011/relationships/chartColorStyle" Target="colors1.xml"/><Relationship Id="rId1" Type="http://schemas.microsoft.com/office/2011/relationships/chartStyle" Target="style1.xml"/></Relationships>
</file>

<file path=word/charts/_rels/chart2.xml.rels><?xml version="1.0" encoding="UTF-8" standalone="yes"?>
<Relationships xmlns="http://schemas.openxmlformats.org/package/2006/relationships"><Relationship Id="rId3" Type="http://schemas.openxmlformats.org/officeDocument/2006/relationships/oleObject" Target="https://d.docs.live.net/51db31bae15e7454/Desktop/FYP%20Degree/FTIR%20Test.xlsx" TargetMode="External"/><Relationship Id="rId2" Type="http://schemas.microsoft.com/office/2011/relationships/chartColorStyle" Target="colors2.xml"/><Relationship Id="rId1" Type="http://schemas.microsoft.com/office/2011/relationships/chartStyle" Target="style2.xml"/></Relationships>
</file>

<file path=word/charts/_rels/chart3.xml.rels><?xml version="1.0" encoding="UTF-8" standalone="yes"?>
<Relationships xmlns="http://schemas.openxmlformats.org/package/2006/relationships"><Relationship Id="rId3" Type="http://schemas.openxmlformats.org/officeDocument/2006/relationships/oleObject" Target="https://d.docs.live.net/51db31bae15e7454/Desktop/FYP%20Degree/FTIR%20Test.xlsx" TargetMode="External"/><Relationship Id="rId2" Type="http://schemas.microsoft.com/office/2011/relationships/chartColorStyle" Target="colors3.xml"/><Relationship Id="rId1" Type="http://schemas.microsoft.com/office/2011/relationships/chartStyle" Target="style3.xml"/></Relationships>
</file>

<file path=word/charts/_rels/chart4.xml.rels><?xml version="1.0" encoding="UTF-8" standalone="yes"?>
<Relationships xmlns="http://schemas.openxmlformats.org/package/2006/relationships"><Relationship Id="rId3" Type="http://schemas.openxmlformats.org/officeDocument/2006/relationships/oleObject" Target="https://d.docs.live.net/51db31bae15e7454/Desktop/FYP%20Degree/FTIR%20Test.xlsx" TargetMode="External"/><Relationship Id="rId2" Type="http://schemas.microsoft.com/office/2011/relationships/chartColorStyle" Target="colors4.xml"/><Relationship Id="rId1" Type="http://schemas.microsoft.com/office/2011/relationships/chartStyle" Target="style4.xml"/></Relationships>
</file>

<file path=word/charts/_rels/chart5.xml.rels><?xml version="1.0" encoding="UTF-8" standalone="yes"?>
<Relationships xmlns="http://schemas.openxmlformats.org/package/2006/relationships"><Relationship Id="rId3" Type="http://schemas.openxmlformats.org/officeDocument/2006/relationships/oleObject" Target="https://d.docs.live.net/51db31bae15e7454/Desktop/FYP%20Degree/FTIR%20Test.xlsx" TargetMode="External"/><Relationship Id="rId2" Type="http://schemas.microsoft.com/office/2011/relationships/chartColorStyle" Target="colors5.xml"/><Relationship Id="rId1" Type="http://schemas.microsoft.com/office/2011/relationships/chartStyle" Target="style5.xml"/></Relationships>
</file>

<file path=word/charts/_rels/chart6.xml.rels><?xml version="1.0" encoding="UTF-8" standalone="yes"?>
<Relationships xmlns="http://schemas.openxmlformats.org/package/2006/relationships"><Relationship Id="rId3" Type="http://schemas.openxmlformats.org/officeDocument/2006/relationships/oleObject" Target="https://d.docs.live.net/51db31bae15e7454/Desktop/FYP%20Degree/FTIR%20Test.xlsx" TargetMode="External"/><Relationship Id="rId2" Type="http://schemas.microsoft.com/office/2011/relationships/chartColorStyle" Target="colors6.xml"/><Relationship Id="rId1" Type="http://schemas.microsoft.com/office/2011/relationships/chartStyle" Target="style6.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overlay val="0"/>
      <c:spPr>
        <a:noFill/>
        <a:ln>
          <a:noFill/>
        </a:ln>
        <a:effectLst/>
      </c:spPr>
      <c:txPr>
        <a:bodyPr rot="0" spcFirstLastPara="1" vertOverflow="ellipsis" vert="horz" wrap="square" anchor="ctr" anchorCtr="1"/>
        <a:lstStyle/>
        <a:p>
          <a:pPr>
            <a:defRPr sz="1000" b="1" i="0" u="none" strike="noStrike" kern="1200" baseline="0">
              <a:solidFill>
                <a:schemeClr val="tx2"/>
              </a:solidFill>
              <a:latin typeface="Arial" panose="020B0604020202020204" pitchFamily="34" charset="0"/>
              <a:ea typeface="+mn-ea"/>
              <a:cs typeface="Arial" panose="020B0604020202020204" pitchFamily="34" charset="0"/>
            </a:defRPr>
          </a:pPr>
          <a:endParaRPr lang="en-US"/>
        </a:p>
      </c:txPr>
    </c:title>
    <c:autoTitleDeleted val="0"/>
    <c:plotArea>
      <c:layout/>
      <c:scatterChart>
        <c:scatterStyle val="lineMarker"/>
        <c:varyColors val="0"/>
        <c:ser>
          <c:idx val="0"/>
          <c:order val="0"/>
          <c:tx>
            <c:v>Shear stress versus Shear rate</c:v>
          </c:tx>
          <c:spPr>
            <a:ln w="25400" cap="rnd">
              <a:noFill/>
              <a:round/>
            </a:ln>
            <a:effectLst/>
          </c:spPr>
          <c:marker>
            <c:symbol val="circle"/>
            <c:size val="5"/>
            <c:spPr>
              <a:gradFill rotWithShape="1">
                <a:gsLst>
                  <a:gs pos="0">
                    <a:schemeClr val="accent1">
                      <a:satMod val="103000"/>
                      <a:lumMod val="102000"/>
                      <a:tint val="94000"/>
                    </a:schemeClr>
                  </a:gs>
                  <a:gs pos="50000">
                    <a:schemeClr val="accent1">
                      <a:satMod val="110000"/>
                      <a:lumMod val="100000"/>
                      <a:shade val="100000"/>
                    </a:schemeClr>
                  </a:gs>
                  <a:gs pos="100000">
                    <a:schemeClr val="accent1">
                      <a:lumMod val="99000"/>
                      <a:satMod val="120000"/>
                      <a:shade val="78000"/>
                    </a:schemeClr>
                  </a:gs>
                </a:gsLst>
                <a:lin ang="5400000" scaled="0"/>
              </a:gradFill>
              <a:ln w="9525">
                <a:solidFill>
                  <a:schemeClr val="accent1"/>
                </a:solidFill>
                <a:round/>
              </a:ln>
              <a:effectLst/>
            </c:spPr>
          </c:marker>
          <c:xVal>
            <c:numRef>
              <c:f>'[FTIR Test.xlsx]Rheology &amp; Visco F1'!$E$3:$E$102</c:f>
              <c:numCache>
                <c:formatCode>General</c:formatCode>
                <c:ptCount val="100"/>
                <c:pt idx="0">
                  <c:v>0.78533333333333333</c:v>
                </c:pt>
                <c:pt idx="1">
                  <c:v>1.9866666666666666</c:v>
                </c:pt>
                <c:pt idx="2">
                  <c:v>3</c:v>
                </c:pt>
                <c:pt idx="3">
                  <c:v>4.0066666666666668</c:v>
                </c:pt>
                <c:pt idx="4">
                  <c:v>5.01</c:v>
                </c:pt>
                <c:pt idx="5">
                  <c:v>6.0100000000000007</c:v>
                </c:pt>
                <c:pt idx="6">
                  <c:v>7.0100000000000007</c:v>
                </c:pt>
                <c:pt idx="7">
                  <c:v>8.01</c:v>
                </c:pt>
                <c:pt idx="8">
                  <c:v>9.01</c:v>
                </c:pt>
                <c:pt idx="9">
                  <c:v>10</c:v>
                </c:pt>
                <c:pt idx="10">
                  <c:v>11</c:v>
                </c:pt>
                <c:pt idx="11">
                  <c:v>12</c:v>
                </c:pt>
                <c:pt idx="12">
                  <c:v>13</c:v>
                </c:pt>
                <c:pt idx="13">
                  <c:v>14</c:v>
                </c:pt>
                <c:pt idx="14">
                  <c:v>15</c:v>
                </c:pt>
                <c:pt idx="15">
                  <c:v>16</c:v>
                </c:pt>
                <c:pt idx="16">
                  <c:v>17</c:v>
                </c:pt>
                <c:pt idx="17">
                  <c:v>18</c:v>
                </c:pt>
                <c:pt idx="18">
                  <c:v>19</c:v>
                </c:pt>
                <c:pt idx="19">
                  <c:v>20</c:v>
                </c:pt>
                <c:pt idx="20">
                  <c:v>21</c:v>
                </c:pt>
                <c:pt idx="21">
                  <c:v>22</c:v>
                </c:pt>
                <c:pt idx="22">
                  <c:v>23</c:v>
                </c:pt>
                <c:pt idx="23">
                  <c:v>24</c:v>
                </c:pt>
                <c:pt idx="24">
                  <c:v>25</c:v>
                </c:pt>
                <c:pt idx="25">
                  <c:v>26</c:v>
                </c:pt>
                <c:pt idx="26">
                  <c:v>27</c:v>
                </c:pt>
                <c:pt idx="27">
                  <c:v>28</c:v>
                </c:pt>
                <c:pt idx="28">
                  <c:v>29</c:v>
                </c:pt>
                <c:pt idx="29">
                  <c:v>30</c:v>
                </c:pt>
                <c:pt idx="30">
                  <c:v>31</c:v>
                </c:pt>
                <c:pt idx="31">
                  <c:v>32</c:v>
                </c:pt>
                <c:pt idx="32">
                  <c:v>33</c:v>
                </c:pt>
                <c:pt idx="33">
                  <c:v>34</c:v>
                </c:pt>
                <c:pt idx="34">
                  <c:v>35</c:v>
                </c:pt>
                <c:pt idx="35">
                  <c:v>36</c:v>
                </c:pt>
                <c:pt idx="36">
                  <c:v>37</c:v>
                </c:pt>
                <c:pt idx="37">
                  <c:v>38</c:v>
                </c:pt>
                <c:pt idx="38">
                  <c:v>39</c:v>
                </c:pt>
                <c:pt idx="39">
                  <c:v>40</c:v>
                </c:pt>
                <c:pt idx="40">
                  <c:v>41</c:v>
                </c:pt>
                <c:pt idx="41">
                  <c:v>42</c:v>
                </c:pt>
                <c:pt idx="42">
                  <c:v>43</c:v>
                </c:pt>
                <c:pt idx="43">
                  <c:v>44</c:v>
                </c:pt>
                <c:pt idx="44">
                  <c:v>45</c:v>
                </c:pt>
                <c:pt idx="45">
                  <c:v>46</c:v>
                </c:pt>
                <c:pt idx="46">
                  <c:v>47</c:v>
                </c:pt>
                <c:pt idx="47">
                  <c:v>48</c:v>
                </c:pt>
                <c:pt idx="48">
                  <c:v>49</c:v>
                </c:pt>
                <c:pt idx="49">
                  <c:v>50</c:v>
                </c:pt>
                <c:pt idx="50">
                  <c:v>51</c:v>
                </c:pt>
                <c:pt idx="51">
                  <c:v>52</c:v>
                </c:pt>
                <c:pt idx="52">
                  <c:v>53</c:v>
                </c:pt>
                <c:pt idx="53">
                  <c:v>54</c:v>
                </c:pt>
                <c:pt idx="54">
                  <c:v>55</c:v>
                </c:pt>
                <c:pt idx="55">
                  <c:v>56</c:v>
                </c:pt>
                <c:pt idx="56">
                  <c:v>57</c:v>
                </c:pt>
                <c:pt idx="57">
                  <c:v>58</c:v>
                </c:pt>
                <c:pt idx="58">
                  <c:v>59</c:v>
                </c:pt>
                <c:pt idx="59">
                  <c:v>60</c:v>
                </c:pt>
                <c:pt idx="60">
                  <c:v>61</c:v>
                </c:pt>
                <c:pt idx="61">
                  <c:v>62</c:v>
                </c:pt>
                <c:pt idx="62">
                  <c:v>63</c:v>
                </c:pt>
                <c:pt idx="63">
                  <c:v>64</c:v>
                </c:pt>
                <c:pt idx="64">
                  <c:v>65</c:v>
                </c:pt>
                <c:pt idx="65">
                  <c:v>66</c:v>
                </c:pt>
                <c:pt idx="66">
                  <c:v>67</c:v>
                </c:pt>
                <c:pt idx="67">
                  <c:v>68</c:v>
                </c:pt>
                <c:pt idx="68">
                  <c:v>69</c:v>
                </c:pt>
                <c:pt idx="69">
                  <c:v>70</c:v>
                </c:pt>
                <c:pt idx="70">
                  <c:v>71</c:v>
                </c:pt>
                <c:pt idx="71">
                  <c:v>72</c:v>
                </c:pt>
                <c:pt idx="72">
                  <c:v>73</c:v>
                </c:pt>
                <c:pt idx="73">
                  <c:v>74</c:v>
                </c:pt>
                <c:pt idx="74">
                  <c:v>75</c:v>
                </c:pt>
                <c:pt idx="75">
                  <c:v>76</c:v>
                </c:pt>
                <c:pt idx="76">
                  <c:v>77</c:v>
                </c:pt>
                <c:pt idx="77">
                  <c:v>78</c:v>
                </c:pt>
                <c:pt idx="78">
                  <c:v>79</c:v>
                </c:pt>
                <c:pt idx="79">
                  <c:v>80</c:v>
                </c:pt>
                <c:pt idx="80">
                  <c:v>81</c:v>
                </c:pt>
                <c:pt idx="81">
                  <c:v>82</c:v>
                </c:pt>
                <c:pt idx="82">
                  <c:v>83</c:v>
                </c:pt>
                <c:pt idx="83">
                  <c:v>84</c:v>
                </c:pt>
                <c:pt idx="84">
                  <c:v>85</c:v>
                </c:pt>
                <c:pt idx="85">
                  <c:v>86</c:v>
                </c:pt>
                <c:pt idx="86">
                  <c:v>87</c:v>
                </c:pt>
                <c:pt idx="87">
                  <c:v>88</c:v>
                </c:pt>
                <c:pt idx="88">
                  <c:v>89</c:v>
                </c:pt>
                <c:pt idx="89">
                  <c:v>90</c:v>
                </c:pt>
                <c:pt idx="90">
                  <c:v>91</c:v>
                </c:pt>
                <c:pt idx="91">
                  <c:v>92</c:v>
                </c:pt>
                <c:pt idx="92">
                  <c:v>93</c:v>
                </c:pt>
                <c:pt idx="93">
                  <c:v>94</c:v>
                </c:pt>
                <c:pt idx="94">
                  <c:v>95</c:v>
                </c:pt>
                <c:pt idx="95">
                  <c:v>96</c:v>
                </c:pt>
                <c:pt idx="96">
                  <c:v>97</c:v>
                </c:pt>
                <c:pt idx="97">
                  <c:v>98</c:v>
                </c:pt>
                <c:pt idx="98">
                  <c:v>99</c:v>
                </c:pt>
                <c:pt idx="99">
                  <c:v>100</c:v>
                </c:pt>
              </c:numCache>
            </c:numRef>
          </c:xVal>
          <c:yVal>
            <c:numRef>
              <c:f>'[FTIR Test.xlsx]Rheology &amp; Visco F1'!$L$3:$L$104</c:f>
              <c:numCache>
                <c:formatCode>General</c:formatCode>
                <c:ptCount val="102"/>
                <c:pt idx="0">
                  <c:v>94.90000000000002</c:v>
                </c:pt>
                <c:pt idx="1">
                  <c:v>126</c:v>
                </c:pt>
                <c:pt idx="2">
                  <c:v>139.33333333333334</c:v>
                </c:pt>
                <c:pt idx="3">
                  <c:v>148.66666666666666</c:v>
                </c:pt>
                <c:pt idx="4">
                  <c:v>154.66666666666666</c:v>
                </c:pt>
                <c:pt idx="5">
                  <c:v>159</c:v>
                </c:pt>
                <c:pt idx="6">
                  <c:v>162.66666666666666</c:v>
                </c:pt>
                <c:pt idx="7">
                  <c:v>164.66666666666666</c:v>
                </c:pt>
                <c:pt idx="8">
                  <c:v>167.33333333333334</c:v>
                </c:pt>
                <c:pt idx="9">
                  <c:v>168.66666666666666</c:v>
                </c:pt>
                <c:pt idx="10">
                  <c:v>170</c:v>
                </c:pt>
                <c:pt idx="11">
                  <c:v>171.33333333333334</c:v>
                </c:pt>
                <c:pt idx="12">
                  <c:v>172.33333333333334</c:v>
                </c:pt>
                <c:pt idx="13">
                  <c:v>173.33333333333334</c:v>
                </c:pt>
                <c:pt idx="14">
                  <c:v>174</c:v>
                </c:pt>
                <c:pt idx="15">
                  <c:v>175.66666666666666</c:v>
                </c:pt>
                <c:pt idx="16">
                  <c:v>176.66666666666666</c:v>
                </c:pt>
                <c:pt idx="17">
                  <c:v>178</c:v>
                </c:pt>
                <c:pt idx="18">
                  <c:v>178.33333333333334</c:v>
                </c:pt>
                <c:pt idx="19">
                  <c:v>178.33333333333334</c:v>
                </c:pt>
                <c:pt idx="20">
                  <c:v>179.33333333333334</c:v>
                </c:pt>
                <c:pt idx="21">
                  <c:v>179.66666666666666</c:v>
                </c:pt>
                <c:pt idx="22">
                  <c:v>180</c:v>
                </c:pt>
                <c:pt idx="23">
                  <c:v>180.66666666666666</c:v>
                </c:pt>
                <c:pt idx="24">
                  <c:v>181.66666666666666</c:v>
                </c:pt>
                <c:pt idx="25">
                  <c:v>182.66666666666666</c:v>
                </c:pt>
                <c:pt idx="26">
                  <c:v>183.33333333333334</c:v>
                </c:pt>
                <c:pt idx="27">
                  <c:v>183.33333333333334</c:v>
                </c:pt>
                <c:pt idx="28">
                  <c:v>183.66666666666666</c:v>
                </c:pt>
                <c:pt idx="29">
                  <c:v>183.66666666666666</c:v>
                </c:pt>
                <c:pt idx="30">
                  <c:v>184.66666666666666</c:v>
                </c:pt>
                <c:pt idx="31">
                  <c:v>185.66666666666666</c:v>
                </c:pt>
                <c:pt idx="32">
                  <c:v>186</c:v>
                </c:pt>
                <c:pt idx="33">
                  <c:v>186</c:v>
                </c:pt>
                <c:pt idx="34">
                  <c:v>186.33333333333334</c:v>
                </c:pt>
                <c:pt idx="35">
                  <c:v>187</c:v>
                </c:pt>
                <c:pt idx="36">
                  <c:v>188</c:v>
                </c:pt>
                <c:pt idx="37">
                  <c:v>188.33333333333334</c:v>
                </c:pt>
                <c:pt idx="38">
                  <c:v>188.66666666666666</c:v>
                </c:pt>
                <c:pt idx="39">
                  <c:v>189.33333333333334</c:v>
                </c:pt>
                <c:pt idx="40">
                  <c:v>190</c:v>
                </c:pt>
                <c:pt idx="41">
                  <c:v>191.33333333333334</c:v>
                </c:pt>
                <c:pt idx="42">
                  <c:v>191.66666666666666</c:v>
                </c:pt>
                <c:pt idx="43">
                  <c:v>192</c:v>
                </c:pt>
                <c:pt idx="44">
                  <c:v>193</c:v>
                </c:pt>
                <c:pt idx="45">
                  <c:v>194</c:v>
                </c:pt>
                <c:pt idx="46">
                  <c:v>194.66666666666666</c:v>
                </c:pt>
                <c:pt idx="47">
                  <c:v>194.66666666666666</c:v>
                </c:pt>
                <c:pt idx="48">
                  <c:v>195</c:v>
                </c:pt>
                <c:pt idx="49">
                  <c:v>196</c:v>
                </c:pt>
                <c:pt idx="50">
                  <c:v>196</c:v>
                </c:pt>
                <c:pt idx="51">
                  <c:v>196</c:v>
                </c:pt>
                <c:pt idx="52">
                  <c:v>197.33333333333334</c:v>
                </c:pt>
                <c:pt idx="53">
                  <c:v>197.33333333333334</c:v>
                </c:pt>
                <c:pt idx="54">
                  <c:v>197.33333333333334</c:v>
                </c:pt>
                <c:pt idx="55">
                  <c:v>198.33333333333334</c:v>
                </c:pt>
                <c:pt idx="56">
                  <c:v>199</c:v>
                </c:pt>
                <c:pt idx="57">
                  <c:v>199</c:v>
                </c:pt>
                <c:pt idx="58">
                  <c:v>199.66666666666666</c:v>
                </c:pt>
                <c:pt idx="59">
                  <c:v>200.66666666666666</c:v>
                </c:pt>
                <c:pt idx="60">
                  <c:v>200.66666666666666</c:v>
                </c:pt>
                <c:pt idx="61">
                  <c:v>200.66666666666666</c:v>
                </c:pt>
                <c:pt idx="62">
                  <c:v>201.66666666666666</c:v>
                </c:pt>
                <c:pt idx="63">
                  <c:v>201.66666666666666</c:v>
                </c:pt>
                <c:pt idx="64">
                  <c:v>202</c:v>
                </c:pt>
                <c:pt idx="65">
                  <c:v>203</c:v>
                </c:pt>
                <c:pt idx="66">
                  <c:v>203</c:v>
                </c:pt>
                <c:pt idx="67">
                  <c:v>204</c:v>
                </c:pt>
                <c:pt idx="68">
                  <c:v>204</c:v>
                </c:pt>
                <c:pt idx="69">
                  <c:v>203.66666666666666</c:v>
                </c:pt>
                <c:pt idx="70">
                  <c:v>205.33333333333334</c:v>
                </c:pt>
                <c:pt idx="71">
                  <c:v>204.33333333333334</c:v>
                </c:pt>
                <c:pt idx="72">
                  <c:v>205</c:v>
                </c:pt>
                <c:pt idx="73">
                  <c:v>205.66666666666666</c:v>
                </c:pt>
                <c:pt idx="74">
                  <c:v>205.66666666666666</c:v>
                </c:pt>
                <c:pt idx="75">
                  <c:v>206.66666666666666</c:v>
                </c:pt>
                <c:pt idx="76">
                  <c:v>206.66666666666666</c:v>
                </c:pt>
                <c:pt idx="77">
                  <c:v>207</c:v>
                </c:pt>
                <c:pt idx="78">
                  <c:v>207.33333333333334</c:v>
                </c:pt>
                <c:pt idx="79">
                  <c:v>207.66666666666666</c:v>
                </c:pt>
                <c:pt idx="80">
                  <c:v>208.33333333333334</c:v>
                </c:pt>
                <c:pt idx="81">
                  <c:v>208</c:v>
                </c:pt>
                <c:pt idx="82">
                  <c:v>209</c:v>
                </c:pt>
                <c:pt idx="83">
                  <c:v>208.33333333333334</c:v>
                </c:pt>
                <c:pt idx="84">
                  <c:v>209.66666666666666</c:v>
                </c:pt>
                <c:pt idx="85">
                  <c:v>209</c:v>
                </c:pt>
                <c:pt idx="86">
                  <c:v>210</c:v>
                </c:pt>
                <c:pt idx="87">
                  <c:v>210</c:v>
                </c:pt>
                <c:pt idx="88">
                  <c:v>211</c:v>
                </c:pt>
                <c:pt idx="89">
                  <c:v>210.66666666666666</c:v>
                </c:pt>
                <c:pt idx="90">
                  <c:v>211.33333333333334</c:v>
                </c:pt>
                <c:pt idx="91">
                  <c:v>211.33333333333334</c:v>
                </c:pt>
                <c:pt idx="92">
                  <c:v>212</c:v>
                </c:pt>
                <c:pt idx="93">
                  <c:v>211.33333333333334</c:v>
                </c:pt>
                <c:pt idx="94">
                  <c:v>212.33333333333334</c:v>
                </c:pt>
                <c:pt idx="95">
                  <c:v>212.33333333333334</c:v>
                </c:pt>
                <c:pt idx="96">
                  <c:v>213.33333333333334</c:v>
                </c:pt>
                <c:pt idx="97">
                  <c:v>212.33333333333334</c:v>
                </c:pt>
                <c:pt idx="98">
                  <c:v>213.33333333333334</c:v>
                </c:pt>
                <c:pt idx="99">
                  <c:v>212.66666666666666</c:v>
                </c:pt>
              </c:numCache>
            </c:numRef>
          </c:yVal>
          <c:smooth val="0"/>
          <c:extLst>
            <c:ext xmlns:c16="http://schemas.microsoft.com/office/drawing/2014/chart" uri="{C3380CC4-5D6E-409C-BE32-E72D297353CC}">
              <c16:uniqueId val="{00000000-9FE5-446A-83D3-1E9B5F61F357}"/>
            </c:ext>
          </c:extLst>
        </c:ser>
        <c:dLbls>
          <c:showLegendKey val="0"/>
          <c:showVal val="0"/>
          <c:showCatName val="0"/>
          <c:showSerName val="0"/>
          <c:showPercent val="0"/>
          <c:showBubbleSize val="0"/>
        </c:dLbls>
        <c:axId val="798928512"/>
        <c:axId val="632580168"/>
      </c:scatterChart>
      <c:valAx>
        <c:axId val="798928512"/>
        <c:scaling>
          <c:orientation val="minMax"/>
        </c:scaling>
        <c:delete val="0"/>
        <c:axPos val="b"/>
        <c:majorGridlines>
          <c:spPr>
            <a:ln w="9525" cap="flat" cmpd="sng" algn="ctr">
              <a:solidFill>
                <a:schemeClr val="tx2">
                  <a:lumMod val="15000"/>
                  <a:lumOff val="85000"/>
                </a:schemeClr>
              </a:solidFill>
              <a:round/>
            </a:ln>
            <a:effectLst/>
          </c:spPr>
        </c:majorGridlines>
        <c:title>
          <c:tx>
            <c:rich>
              <a:bodyPr rot="0" spcFirstLastPara="1" vertOverflow="ellipsis" vert="horz" wrap="square" anchor="ctr" anchorCtr="1"/>
              <a:lstStyle/>
              <a:p>
                <a:pPr>
                  <a:defRPr sz="900" b="1" i="0" u="none" strike="noStrike" kern="1200" baseline="0">
                    <a:solidFill>
                      <a:schemeClr val="tx2"/>
                    </a:solidFill>
                    <a:latin typeface="+mn-lt"/>
                    <a:ea typeface="+mn-ea"/>
                    <a:cs typeface="+mn-cs"/>
                  </a:defRPr>
                </a:pPr>
                <a:r>
                  <a:rPr lang="en-US"/>
                  <a:t>Shear rate (s</a:t>
                </a:r>
                <a:r>
                  <a:rPr lang="en-US" baseline="30000"/>
                  <a:t>-1</a:t>
                </a:r>
                <a:r>
                  <a:rPr lang="en-US"/>
                  <a:t>)</a:t>
                </a:r>
              </a:p>
            </c:rich>
          </c:tx>
          <c:overlay val="0"/>
          <c:spPr>
            <a:noFill/>
            <a:ln>
              <a:noFill/>
            </a:ln>
            <a:effectLst/>
          </c:spPr>
          <c:txPr>
            <a:bodyPr rot="0" spcFirstLastPara="1" vertOverflow="ellipsis" vert="horz" wrap="square" anchor="ctr" anchorCtr="1"/>
            <a:lstStyle/>
            <a:p>
              <a:pPr>
                <a:defRPr sz="900" b="1" i="0" u="none" strike="noStrike" kern="1200" baseline="0">
                  <a:solidFill>
                    <a:schemeClr val="tx2"/>
                  </a:solidFill>
                  <a:latin typeface="+mn-lt"/>
                  <a:ea typeface="+mn-ea"/>
                  <a:cs typeface="+mn-cs"/>
                </a:defRPr>
              </a:pPr>
              <a:endParaRPr lang="en-US"/>
            </a:p>
          </c:txPr>
        </c:title>
        <c:numFmt formatCode="General" sourceLinked="1"/>
        <c:majorTickMark val="none"/>
        <c:minorTickMark val="none"/>
        <c:tickLblPos val="nextTo"/>
        <c:spPr>
          <a:noFill/>
          <a:ln w="9525" cap="flat" cmpd="sng" algn="ctr">
            <a:solidFill>
              <a:schemeClr val="tx2">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2"/>
                </a:solidFill>
                <a:latin typeface="+mn-lt"/>
                <a:ea typeface="+mn-ea"/>
                <a:cs typeface="+mn-cs"/>
              </a:defRPr>
            </a:pPr>
            <a:endParaRPr lang="en-US"/>
          </a:p>
        </c:txPr>
        <c:crossAx val="632580168"/>
        <c:crosses val="autoZero"/>
        <c:crossBetween val="midCat"/>
      </c:valAx>
      <c:valAx>
        <c:axId val="632580168"/>
        <c:scaling>
          <c:orientation val="minMax"/>
        </c:scaling>
        <c:delete val="0"/>
        <c:axPos val="l"/>
        <c:majorGridlines>
          <c:spPr>
            <a:ln w="9525" cap="flat" cmpd="sng" algn="ctr">
              <a:solidFill>
                <a:schemeClr val="tx2">
                  <a:lumMod val="15000"/>
                  <a:lumOff val="85000"/>
                </a:schemeClr>
              </a:solidFill>
              <a:round/>
            </a:ln>
            <a:effectLst/>
          </c:spPr>
        </c:majorGridlines>
        <c:title>
          <c:tx>
            <c:rich>
              <a:bodyPr rot="-5400000" spcFirstLastPara="1" vertOverflow="ellipsis" vert="horz" wrap="square" anchor="ctr" anchorCtr="1"/>
              <a:lstStyle/>
              <a:p>
                <a:pPr>
                  <a:defRPr sz="900" b="1" i="0" u="none" strike="noStrike" kern="1200" baseline="0">
                    <a:solidFill>
                      <a:schemeClr val="tx2"/>
                    </a:solidFill>
                    <a:latin typeface="+mn-lt"/>
                    <a:ea typeface="+mn-ea"/>
                    <a:cs typeface="+mn-cs"/>
                  </a:defRPr>
                </a:pPr>
                <a:r>
                  <a:rPr lang="en-US"/>
                  <a:t>Shear stress (Pa)</a:t>
                </a:r>
              </a:p>
            </c:rich>
          </c:tx>
          <c:overlay val="0"/>
          <c:spPr>
            <a:noFill/>
            <a:ln>
              <a:noFill/>
            </a:ln>
            <a:effectLst/>
          </c:spPr>
          <c:txPr>
            <a:bodyPr rot="-5400000" spcFirstLastPara="1" vertOverflow="ellipsis" vert="horz" wrap="square" anchor="ctr" anchorCtr="1"/>
            <a:lstStyle/>
            <a:p>
              <a:pPr>
                <a:defRPr sz="900" b="1" i="0" u="none" strike="noStrike" kern="1200" baseline="0">
                  <a:solidFill>
                    <a:schemeClr val="tx2"/>
                  </a:solidFill>
                  <a:latin typeface="+mn-lt"/>
                  <a:ea typeface="+mn-ea"/>
                  <a:cs typeface="+mn-cs"/>
                </a:defRPr>
              </a:pPr>
              <a:endParaRPr lang="en-US"/>
            </a:p>
          </c:txPr>
        </c:title>
        <c:numFmt formatCode="General" sourceLinked="1"/>
        <c:majorTickMark val="none"/>
        <c:minorTickMark val="none"/>
        <c:tickLblPos val="nextTo"/>
        <c:spPr>
          <a:noFill/>
          <a:ln>
            <a:solidFill>
              <a:schemeClr val="tx2">
                <a:lumMod val="40000"/>
                <a:lumOff val="60000"/>
              </a:schemeClr>
            </a:solidFill>
          </a:ln>
          <a:effectLst/>
        </c:spPr>
        <c:txPr>
          <a:bodyPr rot="-60000000" spcFirstLastPara="1" vertOverflow="ellipsis" vert="horz" wrap="square" anchor="ctr" anchorCtr="1"/>
          <a:lstStyle/>
          <a:p>
            <a:pPr>
              <a:defRPr sz="900" b="0" i="0" u="none" strike="noStrike" kern="1200" baseline="0">
                <a:solidFill>
                  <a:schemeClr val="tx2"/>
                </a:solidFill>
                <a:latin typeface="+mn-lt"/>
                <a:ea typeface="+mn-ea"/>
                <a:cs typeface="+mn-cs"/>
              </a:defRPr>
            </a:pPr>
            <a:endParaRPr lang="en-US"/>
          </a:p>
        </c:txPr>
        <c:crossAx val="798928512"/>
        <c:crosses val="autoZero"/>
        <c:crossBetween val="midCat"/>
      </c:valAx>
      <c:spPr>
        <a:noFill/>
        <a:ln>
          <a:noFill/>
        </a:ln>
        <a:effectLst/>
      </c:spPr>
    </c:plotArea>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31750" cap="flat" cmpd="thickThin" algn="ctr">
      <a:solidFill>
        <a:srgbClr val="7030A0"/>
      </a:solidFill>
      <a:round/>
    </a:ln>
    <a:effectLst/>
  </c:spPr>
  <c:txPr>
    <a:bodyPr/>
    <a:lstStyle/>
    <a:p>
      <a:pPr>
        <a:defRPr/>
      </a:pPr>
      <a:endParaRPr lang="en-US"/>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000" b="1" i="0" u="none" strike="noStrike" kern="1200" baseline="0">
                <a:solidFill>
                  <a:schemeClr val="tx2"/>
                </a:solidFill>
                <a:latin typeface="Arial" panose="020B0604020202020204" pitchFamily="34" charset="0"/>
                <a:ea typeface="+mn-ea"/>
                <a:cs typeface="Arial" panose="020B0604020202020204" pitchFamily="34" charset="0"/>
              </a:defRPr>
            </a:pPr>
            <a:r>
              <a:rPr lang="en-US" sz="1000">
                <a:latin typeface="Arial" panose="020B0604020202020204" pitchFamily="34" charset="0"/>
                <a:cs typeface="Arial" panose="020B0604020202020204" pitchFamily="34" charset="0"/>
              </a:rPr>
              <a:t>Shear stress versus Shear rate</a:t>
            </a:r>
          </a:p>
        </c:rich>
      </c:tx>
      <c:overlay val="0"/>
      <c:spPr>
        <a:noFill/>
        <a:ln>
          <a:noFill/>
        </a:ln>
        <a:effectLst/>
      </c:spPr>
      <c:txPr>
        <a:bodyPr rot="0" spcFirstLastPara="1" vertOverflow="ellipsis" vert="horz" wrap="square" anchor="ctr" anchorCtr="1"/>
        <a:lstStyle/>
        <a:p>
          <a:pPr>
            <a:defRPr sz="1000" b="1" i="0" u="none" strike="noStrike" kern="1200" baseline="0">
              <a:solidFill>
                <a:schemeClr val="tx2"/>
              </a:solidFill>
              <a:latin typeface="Arial" panose="020B0604020202020204" pitchFamily="34" charset="0"/>
              <a:ea typeface="+mn-ea"/>
              <a:cs typeface="Arial" panose="020B0604020202020204" pitchFamily="34" charset="0"/>
            </a:defRPr>
          </a:pPr>
          <a:endParaRPr lang="en-US"/>
        </a:p>
      </c:txPr>
    </c:title>
    <c:autoTitleDeleted val="0"/>
    <c:plotArea>
      <c:layout/>
      <c:scatterChart>
        <c:scatterStyle val="lineMarker"/>
        <c:varyColors val="0"/>
        <c:ser>
          <c:idx val="0"/>
          <c:order val="0"/>
          <c:tx>
            <c:v>Shear stress versus shear rate</c:v>
          </c:tx>
          <c:spPr>
            <a:ln w="9525" cap="rnd">
              <a:solidFill>
                <a:schemeClr val="accent1"/>
              </a:solidFill>
              <a:round/>
            </a:ln>
            <a:effectLst/>
          </c:spPr>
          <c:marker>
            <c:symbol val="circle"/>
            <c:size val="5"/>
            <c:spPr>
              <a:gradFill rotWithShape="1">
                <a:gsLst>
                  <a:gs pos="0">
                    <a:schemeClr val="accent1">
                      <a:satMod val="103000"/>
                      <a:lumMod val="102000"/>
                      <a:tint val="94000"/>
                    </a:schemeClr>
                  </a:gs>
                  <a:gs pos="50000">
                    <a:schemeClr val="accent1">
                      <a:satMod val="110000"/>
                      <a:lumMod val="100000"/>
                      <a:shade val="100000"/>
                    </a:schemeClr>
                  </a:gs>
                  <a:gs pos="100000">
                    <a:schemeClr val="accent1">
                      <a:lumMod val="99000"/>
                      <a:satMod val="120000"/>
                      <a:shade val="78000"/>
                    </a:schemeClr>
                  </a:gs>
                </a:gsLst>
                <a:lin ang="5400000" scaled="0"/>
              </a:gradFill>
              <a:ln w="9525">
                <a:solidFill>
                  <a:schemeClr val="accent1"/>
                </a:solidFill>
                <a:round/>
              </a:ln>
              <a:effectLst/>
            </c:spPr>
          </c:marker>
          <c:xVal>
            <c:numRef>
              <c:f>'[FTIR Test.xlsx]Rheology &amp; Visco F2'!$E$3:$E$102</c:f>
              <c:numCache>
                <c:formatCode>General</c:formatCode>
                <c:ptCount val="100"/>
                <c:pt idx="0">
                  <c:v>0.65799999999999992</c:v>
                </c:pt>
                <c:pt idx="1">
                  <c:v>1.9733333333333334</c:v>
                </c:pt>
                <c:pt idx="2">
                  <c:v>2.9933333333333336</c:v>
                </c:pt>
                <c:pt idx="3">
                  <c:v>4.01</c:v>
                </c:pt>
                <c:pt idx="4">
                  <c:v>5.0133333333333328</c:v>
                </c:pt>
                <c:pt idx="5">
                  <c:v>6.0133333333333328</c:v>
                </c:pt>
                <c:pt idx="6">
                  <c:v>7.0100000000000007</c:v>
                </c:pt>
                <c:pt idx="7">
                  <c:v>8.02</c:v>
                </c:pt>
                <c:pt idx="8">
                  <c:v>9.01</c:v>
                </c:pt>
                <c:pt idx="9">
                  <c:v>10</c:v>
                </c:pt>
                <c:pt idx="10">
                  <c:v>11</c:v>
                </c:pt>
                <c:pt idx="11">
                  <c:v>12</c:v>
                </c:pt>
                <c:pt idx="12">
                  <c:v>13</c:v>
                </c:pt>
                <c:pt idx="13">
                  <c:v>14</c:v>
                </c:pt>
                <c:pt idx="14">
                  <c:v>15</c:v>
                </c:pt>
                <c:pt idx="15">
                  <c:v>16</c:v>
                </c:pt>
                <c:pt idx="16">
                  <c:v>17</c:v>
                </c:pt>
                <c:pt idx="17">
                  <c:v>18</c:v>
                </c:pt>
                <c:pt idx="18">
                  <c:v>19</c:v>
                </c:pt>
                <c:pt idx="19">
                  <c:v>20</c:v>
                </c:pt>
                <c:pt idx="20">
                  <c:v>21</c:v>
                </c:pt>
                <c:pt idx="21">
                  <c:v>22</c:v>
                </c:pt>
                <c:pt idx="22">
                  <c:v>23</c:v>
                </c:pt>
                <c:pt idx="23">
                  <c:v>24</c:v>
                </c:pt>
                <c:pt idx="24">
                  <c:v>25</c:v>
                </c:pt>
                <c:pt idx="25">
                  <c:v>26</c:v>
                </c:pt>
                <c:pt idx="26">
                  <c:v>27</c:v>
                </c:pt>
                <c:pt idx="27">
                  <c:v>28</c:v>
                </c:pt>
                <c:pt idx="28">
                  <c:v>29</c:v>
                </c:pt>
                <c:pt idx="29">
                  <c:v>30</c:v>
                </c:pt>
                <c:pt idx="30">
                  <c:v>31</c:v>
                </c:pt>
                <c:pt idx="31">
                  <c:v>32</c:v>
                </c:pt>
                <c:pt idx="32">
                  <c:v>33</c:v>
                </c:pt>
                <c:pt idx="33">
                  <c:v>34</c:v>
                </c:pt>
                <c:pt idx="34">
                  <c:v>35</c:v>
                </c:pt>
                <c:pt idx="35">
                  <c:v>36</c:v>
                </c:pt>
                <c:pt idx="36">
                  <c:v>37</c:v>
                </c:pt>
                <c:pt idx="37">
                  <c:v>38</c:v>
                </c:pt>
                <c:pt idx="38">
                  <c:v>39</c:v>
                </c:pt>
                <c:pt idx="39">
                  <c:v>40</c:v>
                </c:pt>
                <c:pt idx="40">
                  <c:v>41</c:v>
                </c:pt>
                <c:pt idx="41">
                  <c:v>42</c:v>
                </c:pt>
                <c:pt idx="42">
                  <c:v>43</c:v>
                </c:pt>
                <c:pt idx="43">
                  <c:v>44</c:v>
                </c:pt>
                <c:pt idx="44">
                  <c:v>45</c:v>
                </c:pt>
                <c:pt idx="45">
                  <c:v>46</c:v>
                </c:pt>
                <c:pt idx="46">
                  <c:v>47</c:v>
                </c:pt>
                <c:pt idx="47">
                  <c:v>48</c:v>
                </c:pt>
                <c:pt idx="48">
                  <c:v>49</c:v>
                </c:pt>
                <c:pt idx="49">
                  <c:v>50</c:v>
                </c:pt>
                <c:pt idx="50">
                  <c:v>51</c:v>
                </c:pt>
                <c:pt idx="51">
                  <c:v>52</c:v>
                </c:pt>
                <c:pt idx="52">
                  <c:v>53</c:v>
                </c:pt>
                <c:pt idx="53">
                  <c:v>54</c:v>
                </c:pt>
                <c:pt idx="54">
                  <c:v>55</c:v>
                </c:pt>
                <c:pt idx="55">
                  <c:v>56</c:v>
                </c:pt>
                <c:pt idx="56">
                  <c:v>57</c:v>
                </c:pt>
                <c:pt idx="57">
                  <c:v>58</c:v>
                </c:pt>
                <c:pt idx="58">
                  <c:v>59</c:v>
                </c:pt>
                <c:pt idx="59">
                  <c:v>60</c:v>
                </c:pt>
                <c:pt idx="60">
                  <c:v>61</c:v>
                </c:pt>
                <c:pt idx="61">
                  <c:v>62</c:v>
                </c:pt>
                <c:pt idx="62">
                  <c:v>63</c:v>
                </c:pt>
                <c:pt idx="63">
                  <c:v>64</c:v>
                </c:pt>
                <c:pt idx="64">
                  <c:v>65</c:v>
                </c:pt>
                <c:pt idx="65">
                  <c:v>66</c:v>
                </c:pt>
                <c:pt idx="66">
                  <c:v>67</c:v>
                </c:pt>
                <c:pt idx="67">
                  <c:v>68</c:v>
                </c:pt>
                <c:pt idx="68">
                  <c:v>69</c:v>
                </c:pt>
                <c:pt idx="69">
                  <c:v>70</c:v>
                </c:pt>
                <c:pt idx="70">
                  <c:v>71</c:v>
                </c:pt>
                <c:pt idx="71">
                  <c:v>72</c:v>
                </c:pt>
                <c:pt idx="72">
                  <c:v>73</c:v>
                </c:pt>
                <c:pt idx="73">
                  <c:v>74</c:v>
                </c:pt>
                <c:pt idx="74">
                  <c:v>75</c:v>
                </c:pt>
                <c:pt idx="75">
                  <c:v>76</c:v>
                </c:pt>
                <c:pt idx="76">
                  <c:v>77</c:v>
                </c:pt>
                <c:pt idx="77">
                  <c:v>78</c:v>
                </c:pt>
                <c:pt idx="78">
                  <c:v>79</c:v>
                </c:pt>
                <c:pt idx="79">
                  <c:v>80</c:v>
                </c:pt>
                <c:pt idx="80">
                  <c:v>81</c:v>
                </c:pt>
                <c:pt idx="81">
                  <c:v>82</c:v>
                </c:pt>
                <c:pt idx="82">
                  <c:v>83</c:v>
                </c:pt>
                <c:pt idx="83">
                  <c:v>84</c:v>
                </c:pt>
                <c:pt idx="84">
                  <c:v>85</c:v>
                </c:pt>
                <c:pt idx="85">
                  <c:v>86</c:v>
                </c:pt>
                <c:pt idx="86">
                  <c:v>87</c:v>
                </c:pt>
                <c:pt idx="87">
                  <c:v>88</c:v>
                </c:pt>
                <c:pt idx="88">
                  <c:v>89</c:v>
                </c:pt>
                <c:pt idx="89">
                  <c:v>90</c:v>
                </c:pt>
                <c:pt idx="90">
                  <c:v>91</c:v>
                </c:pt>
                <c:pt idx="91">
                  <c:v>92</c:v>
                </c:pt>
                <c:pt idx="92">
                  <c:v>93</c:v>
                </c:pt>
                <c:pt idx="93">
                  <c:v>94</c:v>
                </c:pt>
                <c:pt idx="94">
                  <c:v>95</c:v>
                </c:pt>
                <c:pt idx="95">
                  <c:v>96</c:v>
                </c:pt>
                <c:pt idx="96">
                  <c:v>97</c:v>
                </c:pt>
                <c:pt idx="97">
                  <c:v>98</c:v>
                </c:pt>
                <c:pt idx="98">
                  <c:v>99</c:v>
                </c:pt>
                <c:pt idx="99">
                  <c:v>100</c:v>
                </c:pt>
              </c:numCache>
            </c:numRef>
          </c:xVal>
          <c:yVal>
            <c:numRef>
              <c:f>'[FTIR Test.xlsx]Rheology &amp; Visco F2'!$M$3:$M$102</c:f>
              <c:numCache>
                <c:formatCode>General</c:formatCode>
                <c:ptCount val="100"/>
                <c:pt idx="0">
                  <c:v>112</c:v>
                </c:pt>
                <c:pt idx="1">
                  <c:v>156</c:v>
                </c:pt>
                <c:pt idx="2">
                  <c:v>172</c:v>
                </c:pt>
                <c:pt idx="3">
                  <c:v>181.66666666666666</c:v>
                </c:pt>
                <c:pt idx="4">
                  <c:v>187.66666666666666</c:v>
                </c:pt>
                <c:pt idx="5">
                  <c:v>191</c:v>
                </c:pt>
                <c:pt idx="6">
                  <c:v>194.33333333333334</c:v>
                </c:pt>
                <c:pt idx="7">
                  <c:v>196</c:v>
                </c:pt>
                <c:pt idx="8">
                  <c:v>197.66666666666666</c:v>
                </c:pt>
                <c:pt idx="9">
                  <c:v>198.66666666666666</c:v>
                </c:pt>
                <c:pt idx="10">
                  <c:v>199.66666666666666</c:v>
                </c:pt>
                <c:pt idx="11">
                  <c:v>201</c:v>
                </c:pt>
                <c:pt idx="12">
                  <c:v>201.33333333333334</c:v>
                </c:pt>
                <c:pt idx="13">
                  <c:v>202.33333333333334</c:v>
                </c:pt>
                <c:pt idx="14">
                  <c:v>203.33333333333334</c:v>
                </c:pt>
                <c:pt idx="15">
                  <c:v>204.33333333333334</c:v>
                </c:pt>
                <c:pt idx="16">
                  <c:v>205.33333333333334</c:v>
                </c:pt>
                <c:pt idx="17">
                  <c:v>206</c:v>
                </c:pt>
                <c:pt idx="18">
                  <c:v>207</c:v>
                </c:pt>
                <c:pt idx="19">
                  <c:v>207</c:v>
                </c:pt>
                <c:pt idx="20">
                  <c:v>207.66666666666666</c:v>
                </c:pt>
                <c:pt idx="21">
                  <c:v>207.33333333333334</c:v>
                </c:pt>
                <c:pt idx="22">
                  <c:v>207.66666666666666</c:v>
                </c:pt>
                <c:pt idx="23">
                  <c:v>208.33333333333334</c:v>
                </c:pt>
                <c:pt idx="24">
                  <c:v>209.33333333333334</c:v>
                </c:pt>
                <c:pt idx="25">
                  <c:v>210.33333333333334</c:v>
                </c:pt>
                <c:pt idx="26">
                  <c:v>210.33333333333334</c:v>
                </c:pt>
                <c:pt idx="27">
                  <c:v>210.66666666666666</c:v>
                </c:pt>
                <c:pt idx="28">
                  <c:v>210.66666666666666</c:v>
                </c:pt>
                <c:pt idx="29">
                  <c:v>211</c:v>
                </c:pt>
                <c:pt idx="30">
                  <c:v>212</c:v>
                </c:pt>
                <c:pt idx="31">
                  <c:v>213</c:v>
                </c:pt>
                <c:pt idx="32">
                  <c:v>213.33333333333334</c:v>
                </c:pt>
                <c:pt idx="33">
                  <c:v>213</c:v>
                </c:pt>
                <c:pt idx="34">
                  <c:v>213.33333333333334</c:v>
                </c:pt>
                <c:pt idx="35">
                  <c:v>213.66666666666666</c:v>
                </c:pt>
                <c:pt idx="36">
                  <c:v>215</c:v>
                </c:pt>
                <c:pt idx="37">
                  <c:v>215.33333333333334</c:v>
                </c:pt>
                <c:pt idx="38">
                  <c:v>215.33333333333334</c:v>
                </c:pt>
                <c:pt idx="39">
                  <c:v>215.66666666666666</c:v>
                </c:pt>
                <c:pt idx="40">
                  <c:v>216.33333333333334</c:v>
                </c:pt>
                <c:pt idx="41">
                  <c:v>217.66666666666666</c:v>
                </c:pt>
                <c:pt idx="42">
                  <c:v>218</c:v>
                </c:pt>
                <c:pt idx="43">
                  <c:v>217.66666666666666</c:v>
                </c:pt>
                <c:pt idx="44">
                  <c:v>218.33333333333334</c:v>
                </c:pt>
                <c:pt idx="45">
                  <c:v>219.66666666666666</c:v>
                </c:pt>
                <c:pt idx="46">
                  <c:v>219.66666666666666</c:v>
                </c:pt>
                <c:pt idx="47">
                  <c:v>219.66666666666666</c:v>
                </c:pt>
                <c:pt idx="48">
                  <c:v>220.33333333333334</c:v>
                </c:pt>
                <c:pt idx="49">
                  <c:v>221.66666666666666</c:v>
                </c:pt>
                <c:pt idx="50">
                  <c:v>221.33333333333334</c:v>
                </c:pt>
                <c:pt idx="51">
                  <c:v>221</c:v>
                </c:pt>
                <c:pt idx="52">
                  <c:v>222</c:v>
                </c:pt>
                <c:pt idx="53">
                  <c:v>222.33333333333334</c:v>
                </c:pt>
                <c:pt idx="54">
                  <c:v>221.66666666666666</c:v>
                </c:pt>
                <c:pt idx="55">
                  <c:v>222</c:v>
                </c:pt>
                <c:pt idx="56">
                  <c:v>223</c:v>
                </c:pt>
                <c:pt idx="57">
                  <c:v>222.66666666666666</c:v>
                </c:pt>
                <c:pt idx="58">
                  <c:v>223</c:v>
                </c:pt>
                <c:pt idx="59">
                  <c:v>224</c:v>
                </c:pt>
                <c:pt idx="60">
                  <c:v>223.66666666666666</c:v>
                </c:pt>
                <c:pt idx="61">
                  <c:v>224</c:v>
                </c:pt>
                <c:pt idx="62">
                  <c:v>225.33333333333334</c:v>
                </c:pt>
                <c:pt idx="63">
                  <c:v>224.66666666666666</c:v>
                </c:pt>
                <c:pt idx="64">
                  <c:v>225</c:v>
                </c:pt>
                <c:pt idx="65">
                  <c:v>226</c:v>
                </c:pt>
                <c:pt idx="66">
                  <c:v>225.66666666666666</c:v>
                </c:pt>
                <c:pt idx="67">
                  <c:v>227</c:v>
                </c:pt>
                <c:pt idx="68">
                  <c:v>227.33333333333334</c:v>
                </c:pt>
                <c:pt idx="69">
                  <c:v>227</c:v>
                </c:pt>
                <c:pt idx="70">
                  <c:v>228.66666666666666</c:v>
                </c:pt>
                <c:pt idx="71">
                  <c:v>228.33333333333334</c:v>
                </c:pt>
                <c:pt idx="72">
                  <c:v>229</c:v>
                </c:pt>
                <c:pt idx="73">
                  <c:v>229.33333333333334</c:v>
                </c:pt>
                <c:pt idx="74">
                  <c:v>228.33333333333334</c:v>
                </c:pt>
                <c:pt idx="75">
                  <c:v>229.66666666666666</c:v>
                </c:pt>
                <c:pt idx="76">
                  <c:v>228.66666666666666</c:v>
                </c:pt>
                <c:pt idx="77">
                  <c:v>229.66666666666666</c:v>
                </c:pt>
                <c:pt idx="78">
                  <c:v>230</c:v>
                </c:pt>
                <c:pt idx="79">
                  <c:v>230.66666666666666</c:v>
                </c:pt>
                <c:pt idx="80">
                  <c:v>231.66666666666666</c:v>
                </c:pt>
                <c:pt idx="81">
                  <c:v>231</c:v>
                </c:pt>
                <c:pt idx="82">
                  <c:v>232.66666666666666</c:v>
                </c:pt>
                <c:pt idx="83">
                  <c:v>232</c:v>
                </c:pt>
                <c:pt idx="84">
                  <c:v>233</c:v>
                </c:pt>
                <c:pt idx="85">
                  <c:v>232.33333333333334</c:v>
                </c:pt>
                <c:pt idx="86">
                  <c:v>233.33333333333334</c:v>
                </c:pt>
                <c:pt idx="87">
                  <c:v>233</c:v>
                </c:pt>
                <c:pt idx="88">
                  <c:v>233.66666666666666</c:v>
                </c:pt>
                <c:pt idx="89">
                  <c:v>233.33333333333334</c:v>
                </c:pt>
                <c:pt idx="90">
                  <c:v>234.33333333333334</c:v>
                </c:pt>
                <c:pt idx="91">
                  <c:v>233.66666666666666</c:v>
                </c:pt>
                <c:pt idx="92">
                  <c:v>234.66666666666666</c:v>
                </c:pt>
                <c:pt idx="93">
                  <c:v>234.33333333333334</c:v>
                </c:pt>
                <c:pt idx="94">
                  <c:v>235.66666666666666</c:v>
                </c:pt>
                <c:pt idx="95">
                  <c:v>235</c:v>
                </c:pt>
                <c:pt idx="96">
                  <c:v>236</c:v>
                </c:pt>
                <c:pt idx="97">
                  <c:v>235</c:v>
                </c:pt>
                <c:pt idx="98">
                  <c:v>236</c:v>
                </c:pt>
                <c:pt idx="99">
                  <c:v>235.33333333333334</c:v>
                </c:pt>
              </c:numCache>
            </c:numRef>
          </c:yVal>
          <c:smooth val="0"/>
          <c:extLst>
            <c:ext xmlns:c16="http://schemas.microsoft.com/office/drawing/2014/chart" uri="{C3380CC4-5D6E-409C-BE32-E72D297353CC}">
              <c16:uniqueId val="{00000000-78C7-4D85-9A03-666CC277AEB5}"/>
            </c:ext>
          </c:extLst>
        </c:ser>
        <c:dLbls>
          <c:showLegendKey val="0"/>
          <c:showVal val="0"/>
          <c:showCatName val="0"/>
          <c:showSerName val="0"/>
          <c:showPercent val="0"/>
          <c:showBubbleSize val="0"/>
        </c:dLbls>
        <c:axId val="798795256"/>
        <c:axId val="798798856"/>
      </c:scatterChart>
      <c:valAx>
        <c:axId val="798795256"/>
        <c:scaling>
          <c:orientation val="minMax"/>
        </c:scaling>
        <c:delete val="0"/>
        <c:axPos val="b"/>
        <c:majorGridlines>
          <c:spPr>
            <a:ln w="9525" cap="flat" cmpd="sng" algn="ctr">
              <a:solidFill>
                <a:schemeClr val="tx2">
                  <a:lumMod val="15000"/>
                  <a:lumOff val="85000"/>
                </a:schemeClr>
              </a:solidFill>
              <a:round/>
            </a:ln>
            <a:effectLst/>
          </c:spPr>
        </c:majorGridlines>
        <c:title>
          <c:tx>
            <c:rich>
              <a:bodyPr rot="0" spcFirstLastPara="1" vertOverflow="ellipsis" vert="horz" wrap="square" anchor="ctr" anchorCtr="1"/>
              <a:lstStyle/>
              <a:p>
                <a:pPr>
                  <a:defRPr sz="900" b="1" i="0" u="none" strike="noStrike" kern="1200" baseline="0">
                    <a:solidFill>
                      <a:schemeClr val="tx2"/>
                    </a:solidFill>
                    <a:latin typeface="+mn-lt"/>
                    <a:ea typeface="+mn-ea"/>
                    <a:cs typeface="+mn-cs"/>
                  </a:defRPr>
                </a:pPr>
                <a:r>
                  <a:rPr lang="en-US"/>
                  <a:t>Shear rate (s</a:t>
                </a:r>
                <a:r>
                  <a:rPr lang="en-US" baseline="30000"/>
                  <a:t>-1</a:t>
                </a:r>
                <a:r>
                  <a:rPr lang="en-US"/>
                  <a:t>)</a:t>
                </a:r>
              </a:p>
            </c:rich>
          </c:tx>
          <c:overlay val="0"/>
          <c:spPr>
            <a:noFill/>
            <a:ln>
              <a:noFill/>
            </a:ln>
            <a:effectLst/>
          </c:spPr>
          <c:txPr>
            <a:bodyPr rot="0" spcFirstLastPara="1" vertOverflow="ellipsis" vert="horz" wrap="square" anchor="ctr" anchorCtr="1"/>
            <a:lstStyle/>
            <a:p>
              <a:pPr>
                <a:defRPr sz="900" b="1" i="0" u="none" strike="noStrike" kern="1200" baseline="0">
                  <a:solidFill>
                    <a:schemeClr val="tx2"/>
                  </a:solidFill>
                  <a:latin typeface="+mn-lt"/>
                  <a:ea typeface="+mn-ea"/>
                  <a:cs typeface="+mn-cs"/>
                </a:defRPr>
              </a:pPr>
              <a:endParaRPr lang="en-US"/>
            </a:p>
          </c:txPr>
        </c:title>
        <c:numFmt formatCode="General" sourceLinked="1"/>
        <c:majorTickMark val="none"/>
        <c:minorTickMark val="none"/>
        <c:tickLblPos val="nextTo"/>
        <c:spPr>
          <a:noFill/>
          <a:ln w="9525" cap="flat" cmpd="sng" algn="ctr">
            <a:solidFill>
              <a:schemeClr val="tx2">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2"/>
                </a:solidFill>
                <a:latin typeface="+mn-lt"/>
                <a:ea typeface="+mn-ea"/>
                <a:cs typeface="+mn-cs"/>
              </a:defRPr>
            </a:pPr>
            <a:endParaRPr lang="en-US"/>
          </a:p>
        </c:txPr>
        <c:crossAx val="798798856"/>
        <c:crosses val="autoZero"/>
        <c:crossBetween val="midCat"/>
      </c:valAx>
      <c:valAx>
        <c:axId val="798798856"/>
        <c:scaling>
          <c:orientation val="minMax"/>
        </c:scaling>
        <c:delete val="0"/>
        <c:axPos val="l"/>
        <c:majorGridlines>
          <c:spPr>
            <a:ln w="9525" cap="flat" cmpd="sng" algn="ctr">
              <a:solidFill>
                <a:schemeClr val="tx2">
                  <a:lumMod val="15000"/>
                  <a:lumOff val="85000"/>
                </a:schemeClr>
              </a:solidFill>
              <a:round/>
            </a:ln>
            <a:effectLst/>
          </c:spPr>
        </c:majorGridlines>
        <c:title>
          <c:tx>
            <c:rich>
              <a:bodyPr rot="-5400000" spcFirstLastPara="1" vertOverflow="ellipsis" vert="horz" wrap="square" anchor="ctr" anchorCtr="1"/>
              <a:lstStyle/>
              <a:p>
                <a:pPr>
                  <a:defRPr sz="900" b="1" i="0" u="none" strike="noStrike" kern="1200" baseline="0">
                    <a:solidFill>
                      <a:schemeClr val="tx2"/>
                    </a:solidFill>
                    <a:latin typeface="+mn-lt"/>
                    <a:ea typeface="+mn-ea"/>
                    <a:cs typeface="+mn-cs"/>
                  </a:defRPr>
                </a:pPr>
                <a:r>
                  <a:rPr lang="en-US"/>
                  <a:t>Shear stress (Pa)</a:t>
                </a:r>
              </a:p>
            </c:rich>
          </c:tx>
          <c:overlay val="0"/>
          <c:spPr>
            <a:noFill/>
            <a:ln>
              <a:noFill/>
            </a:ln>
            <a:effectLst/>
          </c:spPr>
          <c:txPr>
            <a:bodyPr rot="-5400000" spcFirstLastPara="1" vertOverflow="ellipsis" vert="horz" wrap="square" anchor="ctr" anchorCtr="1"/>
            <a:lstStyle/>
            <a:p>
              <a:pPr>
                <a:defRPr sz="900" b="1" i="0" u="none" strike="noStrike" kern="1200" baseline="0">
                  <a:solidFill>
                    <a:schemeClr val="tx2"/>
                  </a:solidFill>
                  <a:latin typeface="+mn-lt"/>
                  <a:ea typeface="+mn-ea"/>
                  <a:cs typeface="+mn-cs"/>
                </a:defRPr>
              </a:pPr>
              <a:endParaRPr lang="en-US"/>
            </a:p>
          </c:txPr>
        </c:title>
        <c:numFmt formatCode="General" sourceLinked="1"/>
        <c:majorTickMark val="none"/>
        <c:minorTickMark val="none"/>
        <c:tickLblPos val="nextTo"/>
        <c:spPr>
          <a:noFill/>
          <a:ln>
            <a:solidFill>
              <a:schemeClr val="tx2">
                <a:lumMod val="40000"/>
                <a:lumOff val="60000"/>
              </a:schemeClr>
            </a:solidFill>
          </a:ln>
          <a:effectLst/>
        </c:spPr>
        <c:txPr>
          <a:bodyPr rot="-60000000" spcFirstLastPara="1" vertOverflow="ellipsis" vert="horz" wrap="square" anchor="ctr" anchorCtr="1"/>
          <a:lstStyle/>
          <a:p>
            <a:pPr>
              <a:defRPr sz="900" b="0" i="0" u="none" strike="noStrike" kern="1200" baseline="0">
                <a:solidFill>
                  <a:schemeClr val="tx2"/>
                </a:solidFill>
                <a:latin typeface="+mn-lt"/>
                <a:ea typeface="+mn-ea"/>
                <a:cs typeface="+mn-cs"/>
              </a:defRPr>
            </a:pPr>
            <a:endParaRPr lang="en-US"/>
          </a:p>
        </c:txPr>
        <c:crossAx val="798795256"/>
        <c:crosses val="autoZero"/>
        <c:crossBetween val="midCat"/>
      </c:valAx>
      <c:spPr>
        <a:noFill/>
        <a:ln>
          <a:noFill/>
        </a:ln>
        <a:effectLst/>
      </c:spPr>
    </c:plotArea>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31750" cap="flat" cmpd="thickThin" algn="ctr">
      <a:solidFill>
        <a:srgbClr val="7030A0"/>
      </a:solidFill>
      <a:round/>
    </a:ln>
    <a:effectLst/>
  </c:spPr>
  <c:txPr>
    <a:bodyPr/>
    <a:lstStyle/>
    <a:p>
      <a:pPr>
        <a:defRPr/>
      </a:pPr>
      <a:endParaRPr lang="en-US"/>
    </a:p>
  </c:txPr>
  <c:externalData r:id="rId3">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000" b="1" i="0" u="none" strike="noStrike" kern="1200" baseline="0">
                <a:solidFill>
                  <a:schemeClr val="tx2"/>
                </a:solidFill>
                <a:latin typeface="Arial" panose="020B0604020202020204" pitchFamily="34" charset="0"/>
                <a:ea typeface="+mn-ea"/>
                <a:cs typeface="Arial" panose="020B0604020202020204" pitchFamily="34" charset="0"/>
              </a:defRPr>
            </a:pPr>
            <a:r>
              <a:rPr lang="en-US" sz="1000">
                <a:latin typeface="Arial" panose="020B0604020202020204" pitchFamily="34" charset="0"/>
                <a:cs typeface="Arial" panose="020B0604020202020204" pitchFamily="34" charset="0"/>
              </a:rPr>
              <a:t>Shear stress versus Shear rate</a:t>
            </a:r>
          </a:p>
        </c:rich>
      </c:tx>
      <c:overlay val="0"/>
      <c:spPr>
        <a:noFill/>
        <a:ln>
          <a:noFill/>
        </a:ln>
        <a:effectLst/>
      </c:spPr>
      <c:txPr>
        <a:bodyPr rot="0" spcFirstLastPara="1" vertOverflow="ellipsis" vert="horz" wrap="square" anchor="ctr" anchorCtr="1"/>
        <a:lstStyle/>
        <a:p>
          <a:pPr>
            <a:defRPr sz="1000" b="1" i="0" u="none" strike="noStrike" kern="1200" baseline="0">
              <a:solidFill>
                <a:schemeClr val="tx2"/>
              </a:solidFill>
              <a:latin typeface="Arial" panose="020B0604020202020204" pitchFamily="34" charset="0"/>
              <a:ea typeface="+mn-ea"/>
              <a:cs typeface="Arial" panose="020B0604020202020204" pitchFamily="34" charset="0"/>
            </a:defRPr>
          </a:pPr>
          <a:endParaRPr lang="en-US"/>
        </a:p>
      </c:txPr>
    </c:title>
    <c:autoTitleDeleted val="0"/>
    <c:plotArea>
      <c:layout/>
      <c:scatterChart>
        <c:scatterStyle val="lineMarker"/>
        <c:varyColors val="0"/>
        <c:ser>
          <c:idx val="0"/>
          <c:order val="0"/>
          <c:tx>
            <c:strRef>
              <c:f>'[FTIR Test.xlsx]Rheology &amp; Visco F3'!$N$9</c:f>
              <c:strCache>
                <c:ptCount val="1"/>
                <c:pt idx="0">
                  <c:v>13.79613472</c:v>
                </c:pt>
              </c:strCache>
            </c:strRef>
          </c:tx>
          <c:spPr>
            <a:ln w="25400" cap="rnd">
              <a:noFill/>
              <a:round/>
            </a:ln>
            <a:effectLst/>
          </c:spPr>
          <c:marker>
            <c:symbol val="circle"/>
            <c:size val="5"/>
            <c:spPr>
              <a:gradFill rotWithShape="1">
                <a:gsLst>
                  <a:gs pos="0">
                    <a:schemeClr val="accent1">
                      <a:satMod val="103000"/>
                      <a:lumMod val="102000"/>
                      <a:tint val="94000"/>
                    </a:schemeClr>
                  </a:gs>
                  <a:gs pos="50000">
                    <a:schemeClr val="accent1">
                      <a:satMod val="110000"/>
                      <a:lumMod val="100000"/>
                      <a:shade val="100000"/>
                    </a:schemeClr>
                  </a:gs>
                  <a:gs pos="100000">
                    <a:schemeClr val="accent1">
                      <a:lumMod val="99000"/>
                      <a:satMod val="120000"/>
                      <a:shade val="78000"/>
                    </a:schemeClr>
                  </a:gs>
                </a:gsLst>
                <a:lin ang="5400000" scaled="0"/>
              </a:gradFill>
              <a:ln w="9525">
                <a:solidFill>
                  <a:schemeClr val="accent1"/>
                </a:solidFill>
                <a:round/>
              </a:ln>
              <a:effectLst/>
            </c:spPr>
          </c:marker>
          <c:xVal>
            <c:numRef>
              <c:f>'[FTIR Test.xlsx]Rheology &amp; Visco F3'!$E$3:$E$102</c:f>
              <c:numCache>
                <c:formatCode>General</c:formatCode>
                <c:ptCount val="100"/>
                <c:pt idx="0">
                  <c:v>0.82566666666666666</c:v>
                </c:pt>
                <c:pt idx="1">
                  <c:v>2</c:v>
                </c:pt>
                <c:pt idx="2">
                  <c:v>3</c:v>
                </c:pt>
                <c:pt idx="3">
                  <c:v>4.01</c:v>
                </c:pt>
                <c:pt idx="4">
                  <c:v>5.01</c:v>
                </c:pt>
                <c:pt idx="5">
                  <c:v>6.0100000000000007</c:v>
                </c:pt>
                <c:pt idx="6">
                  <c:v>7.0100000000000007</c:v>
                </c:pt>
                <c:pt idx="7">
                  <c:v>8.01</c:v>
                </c:pt>
                <c:pt idx="8">
                  <c:v>9.01</c:v>
                </c:pt>
                <c:pt idx="9">
                  <c:v>10</c:v>
                </c:pt>
                <c:pt idx="10">
                  <c:v>11</c:v>
                </c:pt>
                <c:pt idx="11">
                  <c:v>12</c:v>
                </c:pt>
                <c:pt idx="12">
                  <c:v>13</c:v>
                </c:pt>
                <c:pt idx="13">
                  <c:v>14</c:v>
                </c:pt>
                <c:pt idx="14">
                  <c:v>15</c:v>
                </c:pt>
                <c:pt idx="15">
                  <c:v>16</c:v>
                </c:pt>
                <c:pt idx="16">
                  <c:v>17</c:v>
                </c:pt>
                <c:pt idx="17">
                  <c:v>18</c:v>
                </c:pt>
                <c:pt idx="18">
                  <c:v>19</c:v>
                </c:pt>
                <c:pt idx="19">
                  <c:v>20</c:v>
                </c:pt>
                <c:pt idx="20">
                  <c:v>21</c:v>
                </c:pt>
                <c:pt idx="21">
                  <c:v>22</c:v>
                </c:pt>
                <c:pt idx="22">
                  <c:v>23</c:v>
                </c:pt>
                <c:pt idx="23">
                  <c:v>24</c:v>
                </c:pt>
                <c:pt idx="24">
                  <c:v>25</c:v>
                </c:pt>
                <c:pt idx="25">
                  <c:v>26</c:v>
                </c:pt>
                <c:pt idx="26">
                  <c:v>27</c:v>
                </c:pt>
                <c:pt idx="27">
                  <c:v>28</c:v>
                </c:pt>
                <c:pt idx="28">
                  <c:v>29</c:v>
                </c:pt>
                <c:pt idx="29">
                  <c:v>30</c:v>
                </c:pt>
                <c:pt idx="30">
                  <c:v>31</c:v>
                </c:pt>
                <c:pt idx="31">
                  <c:v>32</c:v>
                </c:pt>
                <c:pt idx="32">
                  <c:v>33</c:v>
                </c:pt>
                <c:pt idx="33">
                  <c:v>34</c:v>
                </c:pt>
                <c:pt idx="34">
                  <c:v>35</c:v>
                </c:pt>
                <c:pt idx="35">
                  <c:v>36</c:v>
                </c:pt>
                <c:pt idx="36">
                  <c:v>37</c:v>
                </c:pt>
                <c:pt idx="37">
                  <c:v>38</c:v>
                </c:pt>
                <c:pt idx="38">
                  <c:v>39</c:v>
                </c:pt>
                <c:pt idx="39">
                  <c:v>40</c:v>
                </c:pt>
                <c:pt idx="40">
                  <c:v>41</c:v>
                </c:pt>
                <c:pt idx="41">
                  <c:v>42</c:v>
                </c:pt>
                <c:pt idx="42">
                  <c:v>43</c:v>
                </c:pt>
                <c:pt idx="43">
                  <c:v>44</c:v>
                </c:pt>
                <c:pt idx="44">
                  <c:v>45</c:v>
                </c:pt>
                <c:pt idx="45">
                  <c:v>46</c:v>
                </c:pt>
                <c:pt idx="46">
                  <c:v>47</c:v>
                </c:pt>
                <c:pt idx="47">
                  <c:v>48</c:v>
                </c:pt>
                <c:pt idx="48">
                  <c:v>49</c:v>
                </c:pt>
                <c:pt idx="49">
                  <c:v>50</c:v>
                </c:pt>
                <c:pt idx="50">
                  <c:v>51</c:v>
                </c:pt>
                <c:pt idx="51">
                  <c:v>52</c:v>
                </c:pt>
                <c:pt idx="52">
                  <c:v>53</c:v>
                </c:pt>
                <c:pt idx="53">
                  <c:v>54</c:v>
                </c:pt>
                <c:pt idx="54">
                  <c:v>55</c:v>
                </c:pt>
                <c:pt idx="55">
                  <c:v>56</c:v>
                </c:pt>
                <c:pt idx="56">
                  <c:v>57</c:v>
                </c:pt>
                <c:pt idx="57">
                  <c:v>58</c:v>
                </c:pt>
                <c:pt idx="58">
                  <c:v>59</c:v>
                </c:pt>
                <c:pt idx="59">
                  <c:v>60</c:v>
                </c:pt>
                <c:pt idx="60">
                  <c:v>61</c:v>
                </c:pt>
                <c:pt idx="61">
                  <c:v>62</c:v>
                </c:pt>
                <c:pt idx="62">
                  <c:v>63</c:v>
                </c:pt>
                <c:pt idx="63">
                  <c:v>64</c:v>
                </c:pt>
                <c:pt idx="64">
                  <c:v>65</c:v>
                </c:pt>
                <c:pt idx="65">
                  <c:v>66</c:v>
                </c:pt>
                <c:pt idx="66">
                  <c:v>67</c:v>
                </c:pt>
                <c:pt idx="67">
                  <c:v>68</c:v>
                </c:pt>
                <c:pt idx="68">
                  <c:v>69</c:v>
                </c:pt>
                <c:pt idx="69">
                  <c:v>70</c:v>
                </c:pt>
                <c:pt idx="70">
                  <c:v>71</c:v>
                </c:pt>
                <c:pt idx="71">
                  <c:v>72</c:v>
                </c:pt>
                <c:pt idx="72">
                  <c:v>73</c:v>
                </c:pt>
                <c:pt idx="73">
                  <c:v>74</c:v>
                </c:pt>
                <c:pt idx="74">
                  <c:v>75</c:v>
                </c:pt>
                <c:pt idx="75">
                  <c:v>76</c:v>
                </c:pt>
                <c:pt idx="76">
                  <c:v>77</c:v>
                </c:pt>
                <c:pt idx="77">
                  <c:v>78</c:v>
                </c:pt>
                <c:pt idx="78">
                  <c:v>79</c:v>
                </c:pt>
                <c:pt idx="79">
                  <c:v>80</c:v>
                </c:pt>
                <c:pt idx="80">
                  <c:v>81</c:v>
                </c:pt>
                <c:pt idx="81">
                  <c:v>82</c:v>
                </c:pt>
                <c:pt idx="82">
                  <c:v>83</c:v>
                </c:pt>
                <c:pt idx="83">
                  <c:v>84</c:v>
                </c:pt>
                <c:pt idx="84">
                  <c:v>85</c:v>
                </c:pt>
                <c:pt idx="85">
                  <c:v>86</c:v>
                </c:pt>
                <c:pt idx="86">
                  <c:v>87</c:v>
                </c:pt>
                <c:pt idx="87">
                  <c:v>88</c:v>
                </c:pt>
                <c:pt idx="88">
                  <c:v>89</c:v>
                </c:pt>
                <c:pt idx="89">
                  <c:v>90</c:v>
                </c:pt>
                <c:pt idx="90">
                  <c:v>91</c:v>
                </c:pt>
                <c:pt idx="91">
                  <c:v>92</c:v>
                </c:pt>
                <c:pt idx="92">
                  <c:v>93</c:v>
                </c:pt>
                <c:pt idx="93">
                  <c:v>94</c:v>
                </c:pt>
                <c:pt idx="94">
                  <c:v>95</c:v>
                </c:pt>
                <c:pt idx="95">
                  <c:v>96</c:v>
                </c:pt>
                <c:pt idx="96">
                  <c:v>97</c:v>
                </c:pt>
                <c:pt idx="97">
                  <c:v>98</c:v>
                </c:pt>
                <c:pt idx="98">
                  <c:v>99</c:v>
                </c:pt>
                <c:pt idx="99">
                  <c:v>100</c:v>
                </c:pt>
              </c:numCache>
            </c:numRef>
          </c:xVal>
          <c:yVal>
            <c:numRef>
              <c:f>'[FTIR Test.xlsx]Rheology &amp; Visco F3'!$M$3:$M$102</c:f>
              <c:numCache>
                <c:formatCode>General</c:formatCode>
                <c:ptCount val="100"/>
                <c:pt idx="0">
                  <c:v>92.399999999999991</c:v>
                </c:pt>
                <c:pt idx="1">
                  <c:v>112.66666666666667</c:v>
                </c:pt>
                <c:pt idx="2">
                  <c:v>123.66666666666667</c:v>
                </c:pt>
                <c:pt idx="3">
                  <c:v>131</c:v>
                </c:pt>
                <c:pt idx="4">
                  <c:v>136.66666666666666</c:v>
                </c:pt>
                <c:pt idx="5">
                  <c:v>140.33333333333334</c:v>
                </c:pt>
                <c:pt idx="6">
                  <c:v>143.33333333333334</c:v>
                </c:pt>
                <c:pt idx="7">
                  <c:v>145</c:v>
                </c:pt>
                <c:pt idx="8">
                  <c:v>147</c:v>
                </c:pt>
                <c:pt idx="9">
                  <c:v>148</c:v>
                </c:pt>
                <c:pt idx="10">
                  <c:v>150</c:v>
                </c:pt>
                <c:pt idx="11">
                  <c:v>151</c:v>
                </c:pt>
                <c:pt idx="12">
                  <c:v>152</c:v>
                </c:pt>
                <c:pt idx="13">
                  <c:v>153</c:v>
                </c:pt>
                <c:pt idx="14">
                  <c:v>154.33333333333334</c:v>
                </c:pt>
                <c:pt idx="15">
                  <c:v>155.33333333333334</c:v>
                </c:pt>
                <c:pt idx="16">
                  <c:v>156.33333333333334</c:v>
                </c:pt>
                <c:pt idx="17">
                  <c:v>157.66666666666666</c:v>
                </c:pt>
                <c:pt idx="18">
                  <c:v>158.33333333333334</c:v>
                </c:pt>
                <c:pt idx="19">
                  <c:v>158.33333333333334</c:v>
                </c:pt>
                <c:pt idx="20">
                  <c:v>159</c:v>
                </c:pt>
                <c:pt idx="21">
                  <c:v>159</c:v>
                </c:pt>
                <c:pt idx="22">
                  <c:v>159.33333333333334</c:v>
                </c:pt>
                <c:pt idx="23">
                  <c:v>160.33333333333334</c:v>
                </c:pt>
                <c:pt idx="24">
                  <c:v>161.33333333333334</c:v>
                </c:pt>
                <c:pt idx="25">
                  <c:v>162.33333333333334</c:v>
                </c:pt>
                <c:pt idx="26">
                  <c:v>162.66666666666666</c:v>
                </c:pt>
                <c:pt idx="27">
                  <c:v>162.66666666666666</c:v>
                </c:pt>
                <c:pt idx="28">
                  <c:v>162.66666666666666</c:v>
                </c:pt>
                <c:pt idx="29">
                  <c:v>163.66666666666666</c:v>
                </c:pt>
                <c:pt idx="30">
                  <c:v>164</c:v>
                </c:pt>
                <c:pt idx="31">
                  <c:v>165.33333333333334</c:v>
                </c:pt>
                <c:pt idx="32">
                  <c:v>165.66666666666666</c:v>
                </c:pt>
                <c:pt idx="33">
                  <c:v>165.66666666666666</c:v>
                </c:pt>
                <c:pt idx="34">
                  <c:v>165.66666666666666</c:v>
                </c:pt>
                <c:pt idx="35">
                  <c:v>166.66666666666666</c:v>
                </c:pt>
                <c:pt idx="36">
                  <c:v>167.33333333333334</c:v>
                </c:pt>
                <c:pt idx="37">
                  <c:v>168.33333333333334</c:v>
                </c:pt>
                <c:pt idx="38">
                  <c:v>168.33333333333334</c:v>
                </c:pt>
                <c:pt idx="39">
                  <c:v>168.33333333333334</c:v>
                </c:pt>
                <c:pt idx="40">
                  <c:v>169</c:v>
                </c:pt>
                <c:pt idx="41">
                  <c:v>170</c:v>
                </c:pt>
                <c:pt idx="42">
                  <c:v>170</c:v>
                </c:pt>
                <c:pt idx="43">
                  <c:v>170</c:v>
                </c:pt>
                <c:pt idx="44">
                  <c:v>170</c:v>
                </c:pt>
                <c:pt idx="45">
                  <c:v>171.33333333333334</c:v>
                </c:pt>
                <c:pt idx="46">
                  <c:v>171.66666666666666</c:v>
                </c:pt>
                <c:pt idx="47">
                  <c:v>171.66666666666666</c:v>
                </c:pt>
                <c:pt idx="48">
                  <c:v>171.66666666666666</c:v>
                </c:pt>
                <c:pt idx="49">
                  <c:v>172.66666666666666</c:v>
                </c:pt>
                <c:pt idx="50">
                  <c:v>172.66666666666666</c:v>
                </c:pt>
                <c:pt idx="51">
                  <c:v>172.66666666666666</c:v>
                </c:pt>
                <c:pt idx="52">
                  <c:v>173.66666666666666</c:v>
                </c:pt>
                <c:pt idx="53">
                  <c:v>174.33333333333334</c:v>
                </c:pt>
                <c:pt idx="54">
                  <c:v>174.33333333333334</c:v>
                </c:pt>
                <c:pt idx="55">
                  <c:v>174.66666666666666</c:v>
                </c:pt>
                <c:pt idx="56">
                  <c:v>176</c:v>
                </c:pt>
                <c:pt idx="57">
                  <c:v>175.66666666666666</c:v>
                </c:pt>
                <c:pt idx="58">
                  <c:v>176.66666666666666</c:v>
                </c:pt>
                <c:pt idx="59">
                  <c:v>177.66666666666666</c:v>
                </c:pt>
                <c:pt idx="60">
                  <c:v>177.33333333333334</c:v>
                </c:pt>
                <c:pt idx="61">
                  <c:v>177.66666666666666</c:v>
                </c:pt>
                <c:pt idx="62">
                  <c:v>178.66666666666666</c:v>
                </c:pt>
                <c:pt idx="63">
                  <c:v>178.66666666666666</c:v>
                </c:pt>
                <c:pt idx="64">
                  <c:v>178.66666666666666</c:v>
                </c:pt>
                <c:pt idx="65">
                  <c:v>179.33333333333334</c:v>
                </c:pt>
                <c:pt idx="66">
                  <c:v>178.66666666666666</c:v>
                </c:pt>
                <c:pt idx="67">
                  <c:v>179.33333333333334</c:v>
                </c:pt>
                <c:pt idx="68">
                  <c:v>179.66666666666666</c:v>
                </c:pt>
                <c:pt idx="69">
                  <c:v>179.66666666666666</c:v>
                </c:pt>
                <c:pt idx="70">
                  <c:v>181</c:v>
                </c:pt>
                <c:pt idx="71">
                  <c:v>180.33333333333334</c:v>
                </c:pt>
                <c:pt idx="72">
                  <c:v>180.66666666666666</c:v>
                </c:pt>
                <c:pt idx="73">
                  <c:v>181.66666666666666</c:v>
                </c:pt>
                <c:pt idx="74">
                  <c:v>181.33333333333334</c:v>
                </c:pt>
                <c:pt idx="75">
                  <c:v>182.66666666666666</c:v>
                </c:pt>
                <c:pt idx="76">
                  <c:v>182.33333333333334</c:v>
                </c:pt>
                <c:pt idx="77">
                  <c:v>183</c:v>
                </c:pt>
                <c:pt idx="78">
                  <c:v>183</c:v>
                </c:pt>
                <c:pt idx="79">
                  <c:v>183.33333333333334</c:v>
                </c:pt>
                <c:pt idx="80">
                  <c:v>184</c:v>
                </c:pt>
                <c:pt idx="81">
                  <c:v>184</c:v>
                </c:pt>
                <c:pt idx="82">
                  <c:v>185</c:v>
                </c:pt>
                <c:pt idx="83">
                  <c:v>184.33333333333334</c:v>
                </c:pt>
                <c:pt idx="84">
                  <c:v>185.66666666666666</c:v>
                </c:pt>
                <c:pt idx="85">
                  <c:v>184.66666666666666</c:v>
                </c:pt>
                <c:pt idx="86">
                  <c:v>185.66666666666666</c:v>
                </c:pt>
                <c:pt idx="87">
                  <c:v>185.66666666666666</c:v>
                </c:pt>
                <c:pt idx="88">
                  <c:v>186.33333333333334</c:v>
                </c:pt>
                <c:pt idx="89">
                  <c:v>186</c:v>
                </c:pt>
                <c:pt idx="90">
                  <c:v>186.66666666666666</c:v>
                </c:pt>
                <c:pt idx="91">
                  <c:v>186.33333333333334</c:v>
                </c:pt>
                <c:pt idx="92">
                  <c:v>187.33333333333334</c:v>
                </c:pt>
                <c:pt idx="93">
                  <c:v>187.33333333333334</c:v>
                </c:pt>
                <c:pt idx="94">
                  <c:v>188.33333333333334</c:v>
                </c:pt>
                <c:pt idx="95">
                  <c:v>187.33333333333334</c:v>
                </c:pt>
                <c:pt idx="96">
                  <c:v>188.33333333333334</c:v>
                </c:pt>
                <c:pt idx="97">
                  <c:v>188</c:v>
                </c:pt>
                <c:pt idx="98">
                  <c:v>188.66666666666666</c:v>
                </c:pt>
                <c:pt idx="99">
                  <c:v>188.33333333333334</c:v>
                </c:pt>
              </c:numCache>
            </c:numRef>
          </c:yVal>
          <c:smooth val="0"/>
          <c:extLst>
            <c:ext xmlns:c16="http://schemas.microsoft.com/office/drawing/2014/chart" uri="{C3380CC4-5D6E-409C-BE32-E72D297353CC}">
              <c16:uniqueId val="{00000000-74E2-41CB-B417-BB586314A37D}"/>
            </c:ext>
          </c:extLst>
        </c:ser>
        <c:dLbls>
          <c:showLegendKey val="0"/>
          <c:showVal val="0"/>
          <c:showCatName val="0"/>
          <c:showSerName val="0"/>
          <c:showPercent val="0"/>
          <c:showBubbleSize val="0"/>
        </c:dLbls>
        <c:axId val="689153552"/>
        <c:axId val="689147432"/>
      </c:scatterChart>
      <c:valAx>
        <c:axId val="689153552"/>
        <c:scaling>
          <c:orientation val="minMax"/>
        </c:scaling>
        <c:delete val="0"/>
        <c:axPos val="b"/>
        <c:majorGridlines>
          <c:spPr>
            <a:ln w="9525" cap="flat" cmpd="sng" algn="ctr">
              <a:solidFill>
                <a:schemeClr val="tx2">
                  <a:lumMod val="15000"/>
                  <a:lumOff val="85000"/>
                </a:schemeClr>
              </a:solidFill>
              <a:round/>
            </a:ln>
            <a:effectLst/>
          </c:spPr>
        </c:majorGridlines>
        <c:title>
          <c:tx>
            <c:rich>
              <a:bodyPr rot="0" spcFirstLastPara="1" vertOverflow="ellipsis" vert="horz" wrap="square" anchor="ctr" anchorCtr="1"/>
              <a:lstStyle/>
              <a:p>
                <a:pPr>
                  <a:defRPr sz="900" b="1" i="0" u="none" strike="noStrike" kern="1200" baseline="0">
                    <a:solidFill>
                      <a:schemeClr val="tx2"/>
                    </a:solidFill>
                    <a:latin typeface="+mn-lt"/>
                    <a:ea typeface="+mn-ea"/>
                    <a:cs typeface="+mn-cs"/>
                  </a:defRPr>
                </a:pPr>
                <a:r>
                  <a:rPr lang="en-MY"/>
                  <a:t>Shear rate (s</a:t>
                </a:r>
                <a:r>
                  <a:rPr lang="en-MY" baseline="30000"/>
                  <a:t>-1</a:t>
                </a:r>
                <a:r>
                  <a:rPr lang="en-MY"/>
                  <a:t>)</a:t>
                </a:r>
              </a:p>
            </c:rich>
          </c:tx>
          <c:overlay val="0"/>
          <c:spPr>
            <a:noFill/>
            <a:ln>
              <a:noFill/>
            </a:ln>
            <a:effectLst/>
          </c:spPr>
          <c:txPr>
            <a:bodyPr rot="0" spcFirstLastPara="1" vertOverflow="ellipsis" vert="horz" wrap="square" anchor="ctr" anchorCtr="1"/>
            <a:lstStyle/>
            <a:p>
              <a:pPr>
                <a:defRPr sz="900" b="1" i="0" u="none" strike="noStrike" kern="1200" baseline="0">
                  <a:solidFill>
                    <a:schemeClr val="tx2"/>
                  </a:solidFill>
                  <a:latin typeface="+mn-lt"/>
                  <a:ea typeface="+mn-ea"/>
                  <a:cs typeface="+mn-cs"/>
                </a:defRPr>
              </a:pPr>
              <a:endParaRPr lang="en-US"/>
            </a:p>
          </c:txPr>
        </c:title>
        <c:numFmt formatCode="General" sourceLinked="1"/>
        <c:majorTickMark val="none"/>
        <c:minorTickMark val="none"/>
        <c:tickLblPos val="nextTo"/>
        <c:spPr>
          <a:noFill/>
          <a:ln w="9525" cap="flat" cmpd="sng" algn="ctr">
            <a:solidFill>
              <a:schemeClr val="tx2">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2"/>
                </a:solidFill>
                <a:latin typeface="+mn-lt"/>
                <a:ea typeface="+mn-ea"/>
                <a:cs typeface="+mn-cs"/>
              </a:defRPr>
            </a:pPr>
            <a:endParaRPr lang="en-US"/>
          </a:p>
        </c:txPr>
        <c:crossAx val="689147432"/>
        <c:crosses val="autoZero"/>
        <c:crossBetween val="midCat"/>
      </c:valAx>
      <c:valAx>
        <c:axId val="689147432"/>
        <c:scaling>
          <c:orientation val="minMax"/>
        </c:scaling>
        <c:delete val="0"/>
        <c:axPos val="l"/>
        <c:majorGridlines>
          <c:spPr>
            <a:ln w="9525" cap="flat" cmpd="sng" algn="ctr">
              <a:solidFill>
                <a:schemeClr val="tx2">
                  <a:lumMod val="15000"/>
                  <a:lumOff val="85000"/>
                </a:schemeClr>
              </a:solidFill>
              <a:round/>
            </a:ln>
            <a:effectLst/>
          </c:spPr>
        </c:majorGridlines>
        <c:title>
          <c:tx>
            <c:rich>
              <a:bodyPr rot="-5400000" spcFirstLastPara="1" vertOverflow="ellipsis" vert="horz" wrap="square" anchor="ctr" anchorCtr="1"/>
              <a:lstStyle/>
              <a:p>
                <a:pPr>
                  <a:defRPr sz="900" b="1" i="0" u="none" strike="noStrike" kern="1200" baseline="0">
                    <a:solidFill>
                      <a:schemeClr val="tx2"/>
                    </a:solidFill>
                    <a:latin typeface="+mn-lt"/>
                    <a:ea typeface="+mn-ea"/>
                    <a:cs typeface="+mn-cs"/>
                  </a:defRPr>
                </a:pPr>
                <a:r>
                  <a:rPr lang="en-MY"/>
                  <a:t>Shear stress (Pa)</a:t>
                </a:r>
              </a:p>
            </c:rich>
          </c:tx>
          <c:overlay val="0"/>
          <c:spPr>
            <a:noFill/>
            <a:ln>
              <a:noFill/>
            </a:ln>
            <a:effectLst/>
          </c:spPr>
          <c:txPr>
            <a:bodyPr rot="-5400000" spcFirstLastPara="1" vertOverflow="ellipsis" vert="horz" wrap="square" anchor="ctr" anchorCtr="1"/>
            <a:lstStyle/>
            <a:p>
              <a:pPr>
                <a:defRPr sz="900" b="1" i="0" u="none" strike="noStrike" kern="1200" baseline="0">
                  <a:solidFill>
                    <a:schemeClr val="tx2"/>
                  </a:solidFill>
                  <a:latin typeface="+mn-lt"/>
                  <a:ea typeface="+mn-ea"/>
                  <a:cs typeface="+mn-cs"/>
                </a:defRPr>
              </a:pPr>
              <a:endParaRPr lang="en-US"/>
            </a:p>
          </c:txPr>
        </c:title>
        <c:numFmt formatCode="General" sourceLinked="1"/>
        <c:majorTickMark val="none"/>
        <c:minorTickMark val="none"/>
        <c:tickLblPos val="nextTo"/>
        <c:spPr>
          <a:noFill/>
          <a:ln>
            <a:solidFill>
              <a:schemeClr val="tx2">
                <a:lumMod val="40000"/>
                <a:lumOff val="60000"/>
              </a:schemeClr>
            </a:solidFill>
          </a:ln>
          <a:effectLst/>
        </c:spPr>
        <c:txPr>
          <a:bodyPr rot="-60000000" spcFirstLastPara="1" vertOverflow="ellipsis" vert="horz" wrap="square" anchor="ctr" anchorCtr="1"/>
          <a:lstStyle/>
          <a:p>
            <a:pPr>
              <a:defRPr sz="900" b="0" i="0" u="none" strike="noStrike" kern="1200" baseline="0">
                <a:solidFill>
                  <a:schemeClr val="tx2"/>
                </a:solidFill>
                <a:latin typeface="+mn-lt"/>
                <a:ea typeface="+mn-ea"/>
                <a:cs typeface="+mn-cs"/>
              </a:defRPr>
            </a:pPr>
            <a:endParaRPr lang="en-US"/>
          </a:p>
        </c:txPr>
        <c:crossAx val="689153552"/>
        <c:crosses val="autoZero"/>
        <c:crossBetween val="midCat"/>
      </c:valAx>
      <c:spPr>
        <a:noFill/>
        <a:ln>
          <a:noFill/>
        </a:ln>
        <a:effectLst/>
      </c:spPr>
    </c:plotArea>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31750" cap="flat" cmpd="thickThin" algn="ctr">
      <a:solidFill>
        <a:srgbClr val="7030A0"/>
      </a:solidFill>
      <a:round/>
    </a:ln>
    <a:effectLst/>
  </c:spPr>
  <c:txPr>
    <a:bodyPr/>
    <a:lstStyle/>
    <a:p>
      <a:pPr>
        <a:defRPr/>
      </a:pPr>
      <a:endParaRPr lang="en-US"/>
    </a:p>
  </c:txPr>
  <c:externalData r:id="rId3">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overlay val="0"/>
      <c:spPr>
        <a:noFill/>
        <a:ln>
          <a:noFill/>
        </a:ln>
        <a:effectLst/>
      </c:spPr>
      <c:txPr>
        <a:bodyPr rot="0" spcFirstLastPara="1" vertOverflow="ellipsis" vert="horz" wrap="square" anchor="ctr" anchorCtr="1"/>
        <a:lstStyle/>
        <a:p>
          <a:pPr>
            <a:defRPr sz="1000" b="1" i="0" u="none" strike="noStrike" kern="1200" baseline="0">
              <a:solidFill>
                <a:schemeClr val="tx2"/>
              </a:solidFill>
              <a:latin typeface="Arial" panose="020B0604020202020204" pitchFamily="34" charset="0"/>
              <a:ea typeface="+mn-ea"/>
              <a:cs typeface="Arial" panose="020B0604020202020204" pitchFamily="34" charset="0"/>
            </a:defRPr>
          </a:pPr>
          <a:endParaRPr lang="en-US"/>
        </a:p>
      </c:txPr>
    </c:title>
    <c:autoTitleDeleted val="0"/>
    <c:plotArea>
      <c:layout/>
      <c:scatterChart>
        <c:scatterStyle val="lineMarker"/>
        <c:varyColors val="0"/>
        <c:ser>
          <c:idx val="0"/>
          <c:order val="0"/>
          <c:tx>
            <c:v>Viscosity versus Shear rate</c:v>
          </c:tx>
          <c:spPr>
            <a:ln w="25400" cap="rnd">
              <a:noFill/>
              <a:round/>
            </a:ln>
            <a:effectLst/>
          </c:spPr>
          <c:marker>
            <c:symbol val="circle"/>
            <c:size val="5"/>
            <c:spPr>
              <a:gradFill rotWithShape="1">
                <a:gsLst>
                  <a:gs pos="0">
                    <a:schemeClr val="accent1">
                      <a:satMod val="103000"/>
                      <a:lumMod val="102000"/>
                      <a:tint val="94000"/>
                    </a:schemeClr>
                  </a:gs>
                  <a:gs pos="50000">
                    <a:schemeClr val="accent1">
                      <a:satMod val="110000"/>
                      <a:lumMod val="100000"/>
                      <a:shade val="100000"/>
                    </a:schemeClr>
                  </a:gs>
                  <a:gs pos="100000">
                    <a:schemeClr val="accent1">
                      <a:lumMod val="99000"/>
                      <a:satMod val="120000"/>
                      <a:shade val="78000"/>
                    </a:schemeClr>
                  </a:gs>
                </a:gsLst>
                <a:lin ang="5400000" scaled="0"/>
              </a:gradFill>
              <a:ln w="9525">
                <a:solidFill>
                  <a:schemeClr val="accent1"/>
                </a:solidFill>
                <a:round/>
              </a:ln>
              <a:effectLst/>
            </c:spPr>
          </c:marker>
          <c:xVal>
            <c:numRef>
              <c:f>'[FTIR Test.xlsx]Rheology &amp; Visco F1'!$E$3:$E$102</c:f>
              <c:numCache>
                <c:formatCode>General</c:formatCode>
                <c:ptCount val="100"/>
                <c:pt idx="0">
                  <c:v>0.78533333333333333</c:v>
                </c:pt>
                <c:pt idx="1">
                  <c:v>1.9866666666666666</c:v>
                </c:pt>
                <c:pt idx="2">
                  <c:v>3</c:v>
                </c:pt>
                <c:pt idx="3">
                  <c:v>4.0066666666666668</c:v>
                </c:pt>
                <c:pt idx="4">
                  <c:v>5.01</c:v>
                </c:pt>
                <c:pt idx="5">
                  <c:v>6.0100000000000007</c:v>
                </c:pt>
                <c:pt idx="6">
                  <c:v>7.0100000000000007</c:v>
                </c:pt>
                <c:pt idx="7">
                  <c:v>8.01</c:v>
                </c:pt>
                <c:pt idx="8">
                  <c:v>9.01</c:v>
                </c:pt>
                <c:pt idx="9">
                  <c:v>10</c:v>
                </c:pt>
                <c:pt idx="10">
                  <c:v>11</c:v>
                </c:pt>
                <c:pt idx="11">
                  <c:v>12</c:v>
                </c:pt>
                <c:pt idx="12">
                  <c:v>13</c:v>
                </c:pt>
                <c:pt idx="13">
                  <c:v>14</c:v>
                </c:pt>
                <c:pt idx="14">
                  <c:v>15</c:v>
                </c:pt>
                <c:pt idx="15">
                  <c:v>16</c:v>
                </c:pt>
                <c:pt idx="16">
                  <c:v>17</c:v>
                </c:pt>
                <c:pt idx="17">
                  <c:v>18</c:v>
                </c:pt>
                <c:pt idx="18">
                  <c:v>19</c:v>
                </c:pt>
                <c:pt idx="19">
                  <c:v>20</c:v>
                </c:pt>
                <c:pt idx="20">
                  <c:v>21</c:v>
                </c:pt>
                <c:pt idx="21">
                  <c:v>22</c:v>
                </c:pt>
                <c:pt idx="22">
                  <c:v>23</c:v>
                </c:pt>
                <c:pt idx="23">
                  <c:v>24</c:v>
                </c:pt>
                <c:pt idx="24">
                  <c:v>25</c:v>
                </c:pt>
                <c:pt idx="25">
                  <c:v>26</c:v>
                </c:pt>
                <c:pt idx="26">
                  <c:v>27</c:v>
                </c:pt>
                <c:pt idx="27">
                  <c:v>28</c:v>
                </c:pt>
                <c:pt idx="28">
                  <c:v>29</c:v>
                </c:pt>
                <c:pt idx="29">
                  <c:v>30</c:v>
                </c:pt>
                <c:pt idx="30">
                  <c:v>31</c:v>
                </c:pt>
                <c:pt idx="31">
                  <c:v>32</c:v>
                </c:pt>
                <c:pt idx="32">
                  <c:v>33</c:v>
                </c:pt>
                <c:pt idx="33">
                  <c:v>34</c:v>
                </c:pt>
                <c:pt idx="34">
                  <c:v>35</c:v>
                </c:pt>
                <c:pt idx="35">
                  <c:v>36</c:v>
                </c:pt>
                <c:pt idx="36">
                  <c:v>37</c:v>
                </c:pt>
                <c:pt idx="37">
                  <c:v>38</c:v>
                </c:pt>
                <c:pt idx="38">
                  <c:v>39</c:v>
                </c:pt>
                <c:pt idx="39">
                  <c:v>40</c:v>
                </c:pt>
                <c:pt idx="40">
                  <c:v>41</c:v>
                </c:pt>
                <c:pt idx="41">
                  <c:v>42</c:v>
                </c:pt>
                <c:pt idx="42">
                  <c:v>43</c:v>
                </c:pt>
                <c:pt idx="43">
                  <c:v>44</c:v>
                </c:pt>
                <c:pt idx="44">
                  <c:v>45</c:v>
                </c:pt>
                <c:pt idx="45">
                  <c:v>46</c:v>
                </c:pt>
                <c:pt idx="46">
                  <c:v>47</c:v>
                </c:pt>
                <c:pt idx="47">
                  <c:v>48</c:v>
                </c:pt>
                <c:pt idx="48">
                  <c:v>49</c:v>
                </c:pt>
                <c:pt idx="49">
                  <c:v>50</c:v>
                </c:pt>
                <c:pt idx="50">
                  <c:v>51</c:v>
                </c:pt>
                <c:pt idx="51">
                  <c:v>52</c:v>
                </c:pt>
                <c:pt idx="52">
                  <c:v>53</c:v>
                </c:pt>
                <c:pt idx="53">
                  <c:v>54</c:v>
                </c:pt>
                <c:pt idx="54">
                  <c:v>55</c:v>
                </c:pt>
                <c:pt idx="55">
                  <c:v>56</c:v>
                </c:pt>
                <c:pt idx="56">
                  <c:v>57</c:v>
                </c:pt>
                <c:pt idx="57">
                  <c:v>58</c:v>
                </c:pt>
                <c:pt idx="58">
                  <c:v>59</c:v>
                </c:pt>
                <c:pt idx="59">
                  <c:v>60</c:v>
                </c:pt>
                <c:pt idx="60">
                  <c:v>61</c:v>
                </c:pt>
                <c:pt idx="61">
                  <c:v>62</c:v>
                </c:pt>
                <c:pt idx="62">
                  <c:v>63</c:v>
                </c:pt>
                <c:pt idx="63">
                  <c:v>64</c:v>
                </c:pt>
                <c:pt idx="64">
                  <c:v>65</c:v>
                </c:pt>
                <c:pt idx="65">
                  <c:v>66</c:v>
                </c:pt>
                <c:pt idx="66">
                  <c:v>67</c:v>
                </c:pt>
                <c:pt idx="67">
                  <c:v>68</c:v>
                </c:pt>
                <c:pt idx="68">
                  <c:v>69</c:v>
                </c:pt>
                <c:pt idx="69">
                  <c:v>70</c:v>
                </c:pt>
                <c:pt idx="70">
                  <c:v>71</c:v>
                </c:pt>
                <c:pt idx="71">
                  <c:v>72</c:v>
                </c:pt>
                <c:pt idx="72">
                  <c:v>73</c:v>
                </c:pt>
                <c:pt idx="73">
                  <c:v>74</c:v>
                </c:pt>
                <c:pt idx="74">
                  <c:v>75</c:v>
                </c:pt>
                <c:pt idx="75">
                  <c:v>76</c:v>
                </c:pt>
                <c:pt idx="76">
                  <c:v>77</c:v>
                </c:pt>
                <c:pt idx="77">
                  <c:v>78</c:v>
                </c:pt>
                <c:pt idx="78">
                  <c:v>79</c:v>
                </c:pt>
                <c:pt idx="79">
                  <c:v>80</c:v>
                </c:pt>
                <c:pt idx="80">
                  <c:v>81</c:v>
                </c:pt>
                <c:pt idx="81">
                  <c:v>82</c:v>
                </c:pt>
                <c:pt idx="82">
                  <c:v>83</c:v>
                </c:pt>
                <c:pt idx="83">
                  <c:v>84</c:v>
                </c:pt>
                <c:pt idx="84">
                  <c:v>85</c:v>
                </c:pt>
                <c:pt idx="85">
                  <c:v>86</c:v>
                </c:pt>
                <c:pt idx="86">
                  <c:v>87</c:v>
                </c:pt>
                <c:pt idx="87">
                  <c:v>88</c:v>
                </c:pt>
                <c:pt idx="88">
                  <c:v>89</c:v>
                </c:pt>
                <c:pt idx="89">
                  <c:v>90</c:v>
                </c:pt>
                <c:pt idx="90">
                  <c:v>91</c:v>
                </c:pt>
                <c:pt idx="91">
                  <c:v>92</c:v>
                </c:pt>
                <c:pt idx="92">
                  <c:v>93</c:v>
                </c:pt>
                <c:pt idx="93">
                  <c:v>94</c:v>
                </c:pt>
                <c:pt idx="94">
                  <c:v>95</c:v>
                </c:pt>
                <c:pt idx="95">
                  <c:v>96</c:v>
                </c:pt>
                <c:pt idx="96">
                  <c:v>97</c:v>
                </c:pt>
                <c:pt idx="97">
                  <c:v>98</c:v>
                </c:pt>
                <c:pt idx="98">
                  <c:v>99</c:v>
                </c:pt>
                <c:pt idx="99">
                  <c:v>100</c:v>
                </c:pt>
              </c:numCache>
            </c:numRef>
          </c:xVal>
          <c:yVal>
            <c:numRef>
              <c:f>'[FTIR Test.xlsx]Rheology &amp; Visco F1'!$E$107:$E$206</c:f>
              <c:numCache>
                <c:formatCode>General</c:formatCode>
                <c:ptCount val="100"/>
                <c:pt idx="0">
                  <c:v>123</c:v>
                </c:pt>
                <c:pt idx="1">
                  <c:v>63.4</c:v>
                </c:pt>
                <c:pt idx="2">
                  <c:v>46.533333333333331</c:v>
                </c:pt>
                <c:pt idx="3">
                  <c:v>37.133333333333333</c:v>
                </c:pt>
                <c:pt idx="4">
                  <c:v>30.933333333333334</c:v>
                </c:pt>
                <c:pt idx="5">
                  <c:v>26.399999999999995</c:v>
                </c:pt>
                <c:pt idx="6">
                  <c:v>23.2</c:v>
                </c:pt>
                <c:pt idx="7">
                  <c:v>20.566666666666666</c:v>
                </c:pt>
                <c:pt idx="8">
                  <c:v>18.533333333333335</c:v>
                </c:pt>
                <c:pt idx="9">
                  <c:v>16.866666666666667</c:v>
                </c:pt>
                <c:pt idx="10">
                  <c:v>15.433333333333332</c:v>
                </c:pt>
                <c:pt idx="11">
                  <c:v>14.233333333333334</c:v>
                </c:pt>
                <c:pt idx="12">
                  <c:v>13.233333333333334</c:v>
                </c:pt>
                <c:pt idx="13">
                  <c:v>12.366666666666667</c:v>
                </c:pt>
                <c:pt idx="14">
                  <c:v>11.633333333333333</c:v>
                </c:pt>
                <c:pt idx="15">
                  <c:v>10.963333333333333</c:v>
                </c:pt>
                <c:pt idx="16">
                  <c:v>10.366666666666665</c:v>
                </c:pt>
                <c:pt idx="17">
                  <c:v>9.86</c:v>
                </c:pt>
                <c:pt idx="18">
                  <c:v>9.3866666666666685</c:v>
                </c:pt>
                <c:pt idx="19">
                  <c:v>8.9366666666666656</c:v>
                </c:pt>
                <c:pt idx="20">
                  <c:v>8.5299999999999994</c:v>
                </c:pt>
                <c:pt idx="21">
                  <c:v>8.15</c:v>
                </c:pt>
                <c:pt idx="22">
                  <c:v>7.8266666666666653</c:v>
                </c:pt>
                <c:pt idx="23">
                  <c:v>7.5266666666666664</c:v>
                </c:pt>
                <c:pt idx="24">
                  <c:v>7.2700000000000005</c:v>
                </c:pt>
                <c:pt idx="25">
                  <c:v>7.0233333333333334</c:v>
                </c:pt>
                <c:pt idx="26">
                  <c:v>6.7833333333333323</c:v>
                </c:pt>
                <c:pt idx="27">
                  <c:v>6.5466666666666669</c:v>
                </c:pt>
                <c:pt idx="28">
                  <c:v>6.330000000000001</c:v>
                </c:pt>
                <c:pt idx="29">
                  <c:v>6.126666666666666</c:v>
                </c:pt>
                <c:pt idx="30">
                  <c:v>5.956666666666667</c:v>
                </c:pt>
                <c:pt idx="31">
                  <c:v>5.8</c:v>
                </c:pt>
                <c:pt idx="32">
                  <c:v>5.6333333333333329</c:v>
                </c:pt>
                <c:pt idx="33">
                  <c:v>5.4733333333333336</c:v>
                </c:pt>
                <c:pt idx="34">
                  <c:v>5.3266666666666671</c:v>
                </c:pt>
                <c:pt idx="35">
                  <c:v>5.1966666666666663</c:v>
                </c:pt>
                <c:pt idx="36">
                  <c:v>5.08</c:v>
                </c:pt>
                <c:pt idx="37">
                  <c:v>4.9633333333333338</c:v>
                </c:pt>
                <c:pt idx="38">
                  <c:v>4.84</c:v>
                </c:pt>
                <c:pt idx="39">
                  <c:v>4.7333333333333334</c:v>
                </c:pt>
                <c:pt idx="40">
                  <c:v>4.6399999999999997</c:v>
                </c:pt>
                <c:pt idx="41">
                  <c:v>4.5566666666666675</c:v>
                </c:pt>
                <c:pt idx="42">
                  <c:v>4.46</c:v>
                </c:pt>
                <c:pt idx="43">
                  <c:v>4.3633333333333333</c:v>
                </c:pt>
                <c:pt idx="44">
                  <c:v>4.2833333333333341</c:v>
                </c:pt>
                <c:pt idx="45">
                  <c:v>4.2166666666666668</c:v>
                </c:pt>
                <c:pt idx="46">
                  <c:v>4.1366666666666667</c:v>
                </c:pt>
                <c:pt idx="47">
                  <c:v>4.0466666666666669</c:v>
                </c:pt>
                <c:pt idx="48">
                  <c:v>3.98</c:v>
                </c:pt>
                <c:pt idx="49">
                  <c:v>3.9166666666666674</c:v>
                </c:pt>
                <c:pt idx="50">
                  <c:v>3.8433333333333337</c:v>
                </c:pt>
                <c:pt idx="51">
                  <c:v>3.7666666666666671</c:v>
                </c:pt>
                <c:pt idx="52">
                  <c:v>3.72</c:v>
                </c:pt>
                <c:pt idx="53">
                  <c:v>3.6566666666666667</c:v>
                </c:pt>
                <c:pt idx="54">
                  <c:v>3.59</c:v>
                </c:pt>
                <c:pt idx="55">
                  <c:v>3.5366666666666671</c:v>
                </c:pt>
                <c:pt idx="56">
                  <c:v>3.4933333333333336</c:v>
                </c:pt>
                <c:pt idx="57">
                  <c:v>3.4333333333333336</c:v>
                </c:pt>
                <c:pt idx="58">
                  <c:v>3.3800000000000003</c:v>
                </c:pt>
                <c:pt idx="59">
                  <c:v>3.3433333333333337</c:v>
                </c:pt>
                <c:pt idx="60">
                  <c:v>3.2866666666666666</c:v>
                </c:pt>
                <c:pt idx="61">
                  <c:v>3.2366666666666668</c:v>
                </c:pt>
                <c:pt idx="62">
                  <c:v>3.2033333333333331</c:v>
                </c:pt>
                <c:pt idx="63">
                  <c:v>3.15</c:v>
                </c:pt>
                <c:pt idx="64">
                  <c:v>3.11</c:v>
                </c:pt>
                <c:pt idx="65">
                  <c:v>3.0766666666666667</c:v>
                </c:pt>
                <c:pt idx="66">
                  <c:v>3.0266666666666668</c:v>
                </c:pt>
                <c:pt idx="67">
                  <c:v>3</c:v>
                </c:pt>
                <c:pt idx="68">
                  <c:v>2.956666666666667</c:v>
                </c:pt>
                <c:pt idx="69">
                  <c:v>2.91</c:v>
                </c:pt>
                <c:pt idx="70">
                  <c:v>2.8866666666666667</c:v>
                </c:pt>
                <c:pt idx="71">
                  <c:v>2.84</c:v>
                </c:pt>
                <c:pt idx="72">
                  <c:v>2.8066666666666666</c:v>
                </c:pt>
                <c:pt idx="73">
                  <c:v>2.78</c:v>
                </c:pt>
                <c:pt idx="74">
                  <c:v>2.74</c:v>
                </c:pt>
                <c:pt idx="75">
                  <c:v>2.72</c:v>
                </c:pt>
                <c:pt idx="76">
                  <c:v>2.6799999999999997</c:v>
                </c:pt>
                <c:pt idx="77">
                  <c:v>2.6533333333333329</c:v>
                </c:pt>
                <c:pt idx="78">
                  <c:v>2.6233333333333335</c:v>
                </c:pt>
                <c:pt idx="79">
                  <c:v>2.5966666666666667</c:v>
                </c:pt>
                <c:pt idx="80">
                  <c:v>2.5733333333333328</c:v>
                </c:pt>
                <c:pt idx="81">
                  <c:v>2.54</c:v>
                </c:pt>
                <c:pt idx="82">
                  <c:v>2.52</c:v>
                </c:pt>
                <c:pt idx="83">
                  <c:v>2.4833333333333334</c:v>
                </c:pt>
                <c:pt idx="84">
                  <c:v>2.4633333333333334</c:v>
                </c:pt>
                <c:pt idx="85">
                  <c:v>2.4299999999999997</c:v>
                </c:pt>
                <c:pt idx="86">
                  <c:v>2.4133333333333336</c:v>
                </c:pt>
                <c:pt idx="87">
                  <c:v>2.3833333333333333</c:v>
                </c:pt>
                <c:pt idx="88">
                  <c:v>2.3699999999999997</c:v>
                </c:pt>
                <c:pt idx="89">
                  <c:v>2.34</c:v>
                </c:pt>
                <c:pt idx="90">
                  <c:v>2.3233333333333337</c:v>
                </c:pt>
                <c:pt idx="91">
                  <c:v>2.293333333333333</c:v>
                </c:pt>
                <c:pt idx="92">
                  <c:v>2.2766666666666668</c:v>
                </c:pt>
                <c:pt idx="93">
                  <c:v>2.25</c:v>
                </c:pt>
                <c:pt idx="94">
                  <c:v>2.2366666666666668</c:v>
                </c:pt>
                <c:pt idx="95">
                  <c:v>2.2133333333333334</c:v>
                </c:pt>
                <c:pt idx="96">
                  <c:v>2.2000000000000002</c:v>
                </c:pt>
                <c:pt idx="97">
                  <c:v>2.17</c:v>
                </c:pt>
                <c:pt idx="98">
                  <c:v>2.1566666666666667</c:v>
                </c:pt>
                <c:pt idx="99">
                  <c:v>2.1266666666666665</c:v>
                </c:pt>
              </c:numCache>
            </c:numRef>
          </c:yVal>
          <c:smooth val="0"/>
          <c:extLst>
            <c:ext xmlns:c16="http://schemas.microsoft.com/office/drawing/2014/chart" uri="{C3380CC4-5D6E-409C-BE32-E72D297353CC}">
              <c16:uniqueId val="{00000000-EF04-4783-BF9B-541000CA9747}"/>
            </c:ext>
          </c:extLst>
        </c:ser>
        <c:dLbls>
          <c:showLegendKey val="0"/>
          <c:showVal val="0"/>
          <c:showCatName val="0"/>
          <c:showSerName val="0"/>
          <c:showPercent val="0"/>
          <c:showBubbleSize val="0"/>
        </c:dLbls>
        <c:axId val="804346808"/>
        <c:axId val="804345368"/>
      </c:scatterChart>
      <c:valAx>
        <c:axId val="804346808"/>
        <c:scaling>
          <c:orientation val="minMax"/>
        </c:scaling>
        <c:delete val="0"/>
        <c:axPos val="b"/>
        <c:majorGridlines>
          <c:spPr>
            <a:ln w="9525" cap="flat" cmpd="sng" algn="ctr">
              <a:solidFill>
                <a:schemeClr val="tx2">
                  <a:lumMod val="15000"/>
                  <a:lumOff val="85000"/>
                </a:schemeClr>
              </a:solidFill>
              <a:round/>
            </a:ln>
            <a:effectLst/>
          </c:spPr>
        </c:majorGridlines>
        <c:title>
          <c:tx>
            <c:rich>
              <a:bodyPr rot="0" spcFirstLastPara="1" vertOverflow="ellipsis" vert="horz" wrap="square" anchor="ctr" anchorCtr="1"/>
              <a:lstStyle/>
              <a:p>
                <a:pPr>
                  <a:defRPr sz="900" b="1" i="0" u="none" strike="noStrike" kern="1200" baseline="0">
                    <a:solidFill>
                      <a:schemeClr val="tx2"/>
                    </a:solidFill>
                    <a:latin typeface="+mn-lt"/>
                    <a:ea typeface="+mn-ea"/>
                    <a:cs typeface="+mn-cs"/>
                  </a:defRPr>
                </a:pPr>
                <a:r>
                  <a:rPr lang="en-US"/>
                  <a:t>Shear rate (s</a:t>
                </a:r>
                <a:r>
                  <a:rPr lang="en-US" baseline="30000"/>
                  <a:t>-1</a:t>
                </a:r>
                <a:r>
                  <a:rPr lang="en-US"/>
                  <a:t>)</a:t>
                </a:r>
              </a:p>
            </c:rich>
          </c:tx>
          <c:overlay val="0"/>
          <c:spPr>
            <a:noFill/>
            <a:ln>
              <a:noFill/>
            </a:ln>
            <a:effectLst/>
          </c:spPr>
          <c:txPr>
            <a:bodyPr rot="0" spcFirstLastPara="1" vertOverflow="ellipsis" vert="horz" wrap="square" anchor="ctr" anchorCtr="1"/>
            <a:lstStyle/>
            <a:p>
              <a:pPr>
                <a:defRPr sz="900" b="1" i="0" u="none" strike="noStrike" kern="1200" baseline="0">
                  <a:solidFill>
                    <a:schemeClr val="tx2"/>
                  </a:solidFill>
                  <a:latin typeface="+mn-lt"/>
                  <a:ea typeface="+mn-ea"/>
                  <a:cs typeface="+mn-cs"/>
                </a:defRPr>
              </a:pPr>
              <a:endParaRPr lang="en-US"/>
            </a:p>
          </c:txPr>
        </c:title>
        <c:numFmt formatCode="General" sourceLinked="1"/>
        <c:majorTickMark val="none"/>
        <c:minorTickMark val="none"/>
        <c:tickLblPos val="nextTo"/>
        <c:spPr>
          <a:noFill/>
          <a:ln w="9525" cap="flat" cmpd="sng" algn="ctr">
            <a:solidFill>
              <a:schemeClr val="tx2">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2"/>
                </a:solidFill>
                <a:latin typeface="+mn-lt"/>
                <a:ea typeface="+mn-ea"/>
                <a:cs typeface="+mn-cs"/>
              </a:defRPr>
            </a:pPr>
            <a:endParaRPr lang="en-US"/>
          </a:p>
        </c:txPr>
        <c:crossAx val="804345368"/>
        <c:crosses val="autoZero"/>
        <c:crossBetween val="midCat"/>
      </c:valAx>
      <c:valAx>
        <c:axId val="804345368"/>
        <c:scaling>
          <c:orientation val="minMax"/>
        </c:scaling>
        <c:delete val="0"/>
        <c:axPos val="l"/>
        <c:majorGridlines>
          <c:spPr>
            <a:ln w="9525" cap="flat" cmpd="sng" algn="ctr">
              <a:solidFill>
                <a:schemeClr val="tx2">
                  <a:lumMod val="15000"/>
                  <a:lumOff val="85000"/>
                </a:schemeClr>
              </a:solidFill>
              <a:round/>
            </a:ln>
            <a:effectLst/>
          </c:spPr>
        </c:majorGridlines>
        <c:title>
          <c:tx>
            <c:rich>
              <a:bodyPr rot="-5400000" spcFirstLastPara="1" vertOverflow="ellipsis" vert="horz" wrap="square" anchor="ctr" anchorCtr="1"/>
              <a:lstStyle/>
              <a:p>
                <a:pPr>
                  <a:defRPr sz="900" b="1" i="0" u="none" strike="noStrike" kern="1200" baseline="0">
                    <a:solidFill>
                      <a:schemeClr val="tx2"/>
                    </a:solidFill>
                    <a:latin typeface="+mn-lt"/>
                    <a:ea typeface="+mn-ea"/>
                    <a:cs typeface="+mn-cs"/>
                  </a:defRPr>
                </a:pPr>
                <a:r>
                  <a:rPr lang="en-US"/>
                  <a:t>Viscosity (Pa.s)</a:t>
                </a:r>
              </a:p>
            </c:rich>
          </c:tx>
          <c:overlay val="0"/>
          <c:spPr>
            <a:noFill/>
            <a:ln>
              <a:noFill/>
            </a:ln>
            <a:effectLst/>
          </c:spPr>
          <c:txPr>
            <a:bodyPr rot="-5400000" spcFirstLastPara="1" vertOverflow="ellipsis" vert="horz" wrap="square" anchor="ctr" anchorCtr="1"/>
            <a:lstStyle/>
            <a:p>
              <a:pPr>
                <a:defRPr sz="900" b="1" i="0" u="none" strike="noStrike" kern="1200" baseline="0">
                  <a:solidFill>
                    <a:schemeClr val="tx2"/>
                  </a:solidFill>
                  <a:latin typeface="+mn-lt"/>
                  <a:ea typeface="+mn-ea"/>
                  <a:cs typeface="+mn-cs"/>
                </a:defRPr>
              </a:pPr>
              <a:endParaRPr lang="en-US"/>
            </a:p>
          </c:txPr>
        </c:title>
        <c:numFmt formatCode="General" sourceLinked="1"/>
        <c:majorTickMark val="none"/>
        <c:minorTickMark val="none"/>
        <c:tickLblPos val="nextTo"/>
        <c:spPr>
          <a:noFill/>
          <a:ln>
            <a:solidFill>
              <a:schemeClr val="tx2">
                <a:lumMod val="40000"/>
                <a:lumOff val="60000"/>
              </a:schemeClr>
            </a:solidFill>
          </a:ln>
          <a:effectLst/>
        </c:spPr>
        <c:txPr>
          <a:bodyPr rot="-60000000" spcFirstLastPara="1" vertOverflow="ellipsis" vert="horz" wrap="square" anchor="ctr" anchorCtr="1"/>
          <a:lstStyle/>
          <a:p>
            <a:pPr>
              <a:defRPr sz="900" b="0" i="0" u="none" strike="noStrike" kern="1200" baseline="0">
                <a:solidFill>
                  <a:schemeClr val="tx2"/>
                </a:solidFill>
                <a:latin typeface="+mn-lt"/>
                <a:ea typeface="+mn-ea"/>
                <a:cs typeface="+mn-cs"/>
              </a:defRPr>
            </a:pPr>
            <a:endParaRPr lang="en-US"/>
          </a:p>
        </c:txPr>
        <c:crossAx val="804346808"/>
        <c:crosses val="autoZero"/>
        <c:crossBetween val="midCat"/>
      </c:valAx>
      <c:spPr>
        <a:noFill/>
        <a:ln>
          <a:noFill/>
        </a:ln>
        <a:effectLst/>
      </c:spPr>
    </c:plotArea>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31750" cap="flat" cmpd="thickThin" algn="ctr">
      <a:solidFill>
        <a:srgbClr val="7030A0"/>
      </a:solidFill>
      <a:round/>
    </a:ln>
    <a:effectLst/>
  </c:spPr>
  <c:txPr>
    <a:bodyPr/>
    <a:lstStyle/>
    <a:p>
      <a:pPr>
        <a:defRPr/>
      </a:pPr>
      <a:endParaRPr lang="en-US"/>
    </a:p>
  </c:txPr>
  <c:externalData r:id="rId3">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overlay val="0"/>
      <c:spPr>
        <a:noFill/>
        <a:ln>
          <a:noFill/>
        </a:ln>
        <a:effectLst/>
      </c:spPr>
      <c:txPr>
        <a:bodyPr rot="0" spcFirstLastPara="1" vertOverflow="ellipsis" vert="horz" wrap="square" anchor="ctr" anchorCtr="1"/>
        <a:lstStyle/>
        <a:p>
          <a:pPr>
            <a:defRPr sz="1000" b="1" i="0" u="none" strike="noStrike" kern="1200" baseline="0">
              <a:solidFill>
                <a:schemeClr val="tx2"/>
              </a:solidFill>
              <a:latin typeface="Arial" panose="020B0604020202020204" pitchFamily="34" charset="0"/>
              <a:ea typeface="+mn-ea"/>
              <a:cs typeface="Arial" panose="020B0604020202020204" pitchFamily="34" charset="0"/>
            </a:defRPr>
          </a:pPr>
          <a:endParaRPr lang="en-US"/>
        </a:p>
      </c:txPr>
    </c:title>
    <c:autoTitleDeleted val="0"/>
    <c:plotArea>
      <c:layout/>
      <c:scatterChart>
        <c:scatterStyle val="lineMarker"/>
        <c:varyColors val="0"/>
        <c:ser>
          <c:idx val="0"/>
          <c:order val="0"/>
          <c:tx>
            <c:v>Viscosity versus Shear rate</c:v>
          </c:tx>
          <c:spPr>
            <a:ln w="25400" cap="rnd">
              <a:noFill/>
              <a:round/>
            </a:ln>
            <a:effectLst/>
          </c:spPr>
          <c:marker>
            <c:symbol val="circle"/>
            <c:size val="5"/>
            <c:spPr>
              <a:gradFill rotWithShape="1">
                <a:gsLst>
                  <a:gs pos="0">
                    <a:schemeClr val="accent1">
                      <a:satMod val="103000"/>
                      <a:lumMod val="102000"/>
                      <a:tint val="94000"/>
                    </a:schemeClr>
                  </a:gs>
                  <a:gs pos="50000">
                    <a:schemeClr val="accent1">
                      <a:satMod val="110000"/>
                      <a:lumMod val="100000"/>
                      <a:shade val="100000"/>
                    </a:schemeClr>
                  </a:gs>
                  <a:gs pos="100000">
                    <a:schemeClr val="accent1">
                      <a:lumMod val="99000"/>
                      <a:satMod val="120000"/>
                      <a:shade val="78000"/>
                    </a:schemeClr>
                  </a:gs>
                </a:gsLst>
                <a:lin ang="5400000" scaled="0"/>
              </a:gradFill>
              <a:ln w="9525">
                <a:solidFill>
                  <a:schemeClr val="accent1"/>
                </a:solidFill>
                <a:round/>
              </a:ln>
              <a:effectLst/>
            </c:spPr>
          </c:marker>
          <c:xVal>
            <c:numRef>
              <c:f>'[FTIR Test.xlsx]Rheology &amp; Visco F2'!$E$3:$E$102</c:f>
              <c:numCache>
                <c:formatCode>General</c:formatCode>
                <c:ptCount val="100"/>
                <c:pt idx="0">
                  <c:v>0.65799999999999992</c:v>
                </c:pt>
                <c:pt idx="1">
                  <c:v>1.9733333333333334</c:v>
                </c:pt>
                <c:pt idx="2">
                  <c:v>2.9933333333333336</c:v>
                </c:pt>
                <c:pt idx="3">
                  <c:v>4.01</c:v>
                </c:pt>
                <c:pt idx="4">
                  <c:v>5.0133333333333328</c:v>
                </c:pt>
                <c:pt idx="5">
                  <c:v>6.0133333333333328</c:v>
                </c:pt>
                <c:pt idx="6">
                  <c:v>7.0100000000000007</c:v>
                </c:pt>
                <c:pt idx="7">
                  <c:v>8.02</c:v>
                </c:pt>
                <c:pt idx="8">
                  <c:v>9.01</c:v>
                </c:pt>
                <c:pt idx="9">
                  <c:v>10</c:v>
                </c:pt>
                <c:pt idx="10">
                  <c:v>11</c:v>
                </c:pt>
                <c:pt idx="11">
                  <c:v>12</c:v>
                </c:pt>
                <c:pt idx="12">
                  <c:v>13</c:v>
                </c:pt>
                <c:pt idx="13">
                  <c:v>14</c:v>
                </c:pt>
                <c:pt idx="14">
                  <c:v>15</c:v>
                </c:pt>
                <c:pt idx="15">
                  <c:v>16</c:v>
                </c:pt>
                <c:pt idx="16">
                  <c:v>17</c:v>
                </c:pt>
                <c:pt idx="17">
                  <c:v>18</c:v>
                </c:pt>
                <c:pt idx="18">
                  <c:v>19</c:v>
                </c:pt>
                <c:pt idx="19">
                  <c:v>20</c:v>
                </c:pt>
                <c:pt idx="20">
                  <c:v>21</c:v>
                </c:pt>
                <c:pt idx="21">
                  <c:v>22</c:v>
                </c:pt>
                <c:pt idx="22">
                  <c:v>23</c:v>
                </c:pt>
                <c:pt idx="23">
                  <c:v>24</c:v>
                </c:pt>
                <c:pt idx="24">
                  <c:v>25</c:v>
                </c:pt>
                <c:pt idx="25">
                  <c:v>26</c:v>
                </c:pt>
                <c:pt idx="26">
                  <c:v>27</c:v>
                </c:pt>
                <c:pt idx="27">
                  <c:v>28</c:v>
                </c:pt>
                <c:pt idx="28">
                  <c:v>29</c:v>
                </c:pt>
                <c:pt idx="29">
                  <c:v>30</c:v>
                </c:pt>
                <c:pt idx="30">
                  <c:v>31</c:v>
                </c:pt>
                <c:pt idx="31">
                  <c:v>32</c:v>
                </c:pt>
                <c:pt idx="32">
                  <c:v>33</c:v>
                </c:pt>
                <c:pt idx="33">
                  <c:v>34</c:v>
                </c:pt>
                <c:pt idx="34">
                  <c:v>35</c:v>
                </c:pt>
                <c:pt idx="35">
                  <c:v>36</c:v>
                </c:pt>
                <c:pt idx="36">
                  <c:v>37</c:v>
                </c:pt>
                <c:pt idx="37">
                  <c:v>38</c:v>
                </c:pt>
                <c:pt idx="38">
                  <c:v>39</c:v>
                </c:pt>
                <c:pt idx="39">
                  <c:v>40</c:v>
                </c:pt>
                <c:pt idx="40">
                  <c:v>41</c:v>
                </c:pt>
                <c:pt idx="41">
                  <c:v>42</c:v>
                </c:pt>
                <c:pt idx="42">
                  <c:v>43</c:v>
                </c:pt>
                <c:pt idx="43">
                  <c:v>44</c:v>
                </c:pt>
                <c:pt idx="44">
                  <c:v>45</c:v>
                </c:pt>
                <c:pt idx="45">
                  <c:v>46</c:v>
                </c:pt>
                <c:pt idx="46">
                  <c:v>47</c:v>
                </c:pt>
                <c:pt idx="47">
                  <c:v>48</c:v>
                </c:pt>
                <c:pt idx="48">
                  <c:v>49</c:v>
                </c:pt>
                <c:pt idx="49">
                  <c:v>50</c:v>
                </c:pt>
                <c:pt idx="50">
                  <c:v>51</c:v>
                </c:pt>
                <c:pt idx="51">
                  <c:v>52</c:v>
                </c:pt>
                <c:pt idx="52">
                  <c:v>53</c:v>
                </c:pt>
                <c:pt idx="53">
                  <c:v>54</c:v>
                </c:pt>
                <c:pt idx="54">
                  <c:v>55</c:v>
                </c:pt>
                <c:pt idx="55">
                  <c:v>56</c:v>
                </c:pt>
                <c:pt idx="56">
                  <c:v>57</c:v>
                </c:pt>
                <c:pt idx="57">
                  <c:v>58</c:v>
                </c:pt>
                <c:pt idx="58">
                  <c:v>59</c:v>
                </c:pt>
                <c:pt idx="59">
                  <c:v>60</c:v>
                </c:pt>
                <c:pt idx="60">
                  <c:v>61</c:v>
                </c:pt>
                <c:pt idx="61">
                  <c:v>62</c:v>
                </c:pt>
                <c:pt idx="62">
                  <c:v>63</c:v>
                </c:pt>
                <c:pt idx="63">
                  <c:v>64</c:v>
                </c:pt>
                <c:pt idx="64">
                  <c:v>65</c:v>
                </c:pt>
                <c:pt idx="65">
                  <c:v>66</c:v>
                </c:pt>
                <c:pt idx="66">
                  <c:v>67</c:v>
                </c:pt>
                <c:pt idx="67">
                  <c:v>68</c:v>
                </c:pt>
                <c:pt idx="68">
                  <c:v>69</c:v>
                </c:pt>
                <c:pt idx="69">
                  <c:v>70</c:v>
                </c:pt>
                <c:pt idx="70">
                  <c:v>71</c:v>
                </c:pt>
                <c:pt idx="71">
                  <c:v>72</c:v>
                </c:pt>
                <c:pt idx="72">
                  <c:v>73</c:v>
                </c:pt>
                <c:pt idx="73">
                  <c:v>74</c:v>
                </c:pt>
                <c:pt idx="74">
                  <c:v>75</c:v>
                </c:pt>
                <c:pt idx="75">
                  <c:v>76</c:v>
                </c:pt>
                <c:pt idx="76">
                  <c:v>77</c:v>
                </c:pt>
                <c:pt idx="77">
                  <c:v>78</c:v>
                </c:pt>
                <c:pt idx="78">
                  <c:v>79</c:v>
                </c:pt>
                <c:pt idx="79">
                  <c:v>80</c:v>
                </c:pt>
                <c:pt idx="80">
                  <c:v>81</c:v>
                </c:pt>
                <c:pt idx="81">
                  <c:v>82</c:v>
                </c:pt>
                <c:pt idx="82">
                  <c:v>83</c:v>
                </c:pt>
                <c:pt idx="83">
                  <c:v>84</c:v>
                </c:pt>
                <c:pt idx="84">
                  <c:v>85</c:v>
                </c:pt>
                <c:pt idx="85">
                  <c:v>86</c:v>
                </c:pt>
                <c:pt idx="86">
                  <c:v>87</c:v>
                </c:pt>
                <c:pt idx="87">
                  <c:v>88</c:v>
                </c:pt>
                <c:pt idx="88">
                  <c:v>89</c:v>
                </c:pt>
                <c:pt idx="89">
                  <c:v>90</c:v>
                </c:pt>
                <c:pt idx="90">
                  <c:v>91</c:v>
                </c:pt>
                <c:pt idx="91">
                  <c:v>92</c:v>
                </c:pt>
                <c:pt idx="92">
                  <c:v>93</c:v>
                </c:pt>
                <c:pt idx="93">
                  <c:v>94</c:v>
                </c:pt>
                <c:pt idx="94">
                  <c:v>95</c:v>
                </c:pt>
                <c:pt idx="95">
                  <c:v>96</c:v>
                </c:pt>
                <c:pt idx="96">
                  <c:v>97</c:v>
                </c:pt>
                <c:pt idx="97">
                  <c:v>98</c:v>
                </c:pt>
                <c:pt idx="98">
                  <c:v>99</c:v>
                </c:pt>
                <c:pt idx="99">
                  <c:v>100</c:v>
                </c:pt>
              </c:numCache>
            </c:numRef>
          </c:xVal>
          <c:yVal>
            <c:numRef>
              <c:f>'[FTIR Test.xlsx]Rheology &amp; Visco F2'!$E$107:$E$206</c:f>
              <c:numCache>
                <c:formatCode>General</c:formatCode>
                <c:ptCount val="100"/>
                <c:pt idx="0">
                  <c:v>171.66666666666666</c:v>
                </c:pt>
                <c:pt idx="1">
                  <c:v>79.166666666666671</c:v>
                </c:pt>
                <c:pt idx="2">
                  <c:v>57.466666666666661</c:v>
                </c:pt>
                <c:pt idx="3">
                  <c:v>45.366666666666667</c:v>
                </c:pt>
                <c:pt idx="4">
                  <c:v>37.43333333333333</c:v>
                </c:pt>
                <c:pt idx="5">
                  <c:v>31.766666666666666</c:v>
                </c:pt>
                <c:pt idx="6">
                  <c:v>27.7</c:v>
                </c:pt>
                <c:pt idx="7">
                  <c:v>24.466666666666669</c:v>
                </c:pt>
                <c:pt idx="8">
                  <c:v>21.966666666666669</c:v>
                </c:pt>
                <c:pt idx="9">
                  <c:v>19.866666666666667</c:v>
                </c:pt>
                <c:pt idx="10">
                  <c:v>18.133333333333333</c:v>
                </c:pt>
                <c:pt idx="11">
                  <c:v>16.733333333333334</c:v>
                </c:pt>
                <c:pt idx="12">
                  <c:v>15.5</c:v>
                </c:pt>
                <c:pt idx="13">
                  <c:v>14.433333333333332</c:v>
                </c:pt>
                <c:pt idx="14">
                  <c:v>13.533333333333331</c:v>
                </c:pt>
                <c:pt idx="15">
                  <c:v>12.766666666666667</c:v>
                </c:pt>
                <c:pt idx="16">
                  <c:v>12.1</c:v>
                </c:pt>
                <c:pt idx="17">
                  <c:v>11.466666666666667</c:v>
                </c:pt>
                <c:pt idx="18">
                  <c:v>10.89</c:v>
                </c:pt>
                <c:pt idx="19">
                  <c:v>10.333333333333334</c:v>
                </c:pt>
                <c:pt idx="20">
                  <c:v>9.8733333333333331</c:v>
                </c:pt>
                <c:pt idx="21">
                  <c:v>9.42</c:v>
                </c:pt>
                <c:pt idx="22">
                  <c:v>9.0299999999999994</c:v>
                </c:pt>
                <c:pt idx="23">
                  <c:v>8.6766666666666676</c:v>
                </c:pt>
                <c:pt idx="24">
                  <c:v>8.3766666666666652</c:v>
                </c:pt>
                <c:pt idx="25">
                  <c:v>8.0900000000000016</c:v>
                </c:pt>
                <c:pt idx="26">
                  <c:v>7.7966666666666669</c:v>
                </c:pt>
                <c:pt idx="27">
                  <c:v>7.5266666666666664</c:v>
                </c:pt>
                <c:pt idx="28">
                  <c:v>7.2600000000000007</c:v>
                </c:pt>
                <c:pt idx="29">
                  <c:v>7.0266666666666664</c:v>
                </c:pt>
                <c:pt idx="30">
                  <c:v>6.830000000000001</c:v>
                </c:pt>
                <c:pt idx="31">
                  <c:v>6.6499999999999995</c:v>
                </c:pt>
                <c:pt idx="32">
                  <c:v>6.46</c:v>
                </c:pt>
                <c:pt idx="33">
                  <c:v>6.2666666666666657</c:v>
                </c:pt>
                <c:pt idx="34">
                  <c:v>6.0866666666666669</c:v>
                </c:pt>
                <c:pt idx="35">
                  <c:v>5.9333333333333336</c:v>
                </c:pt>
                <c:pt idx="36">
                  <c:v>5.8033333333333337</c:v>
                </c:pt>
                <c:pt idx="37">
                  <c:v>5.666666666666667</c:v>
                </c:pt>
                <c:pt idx="38">
                  <c:v>5.5233333333333334</c:v>
                </c:pt>
                <c:pt idx="39">
                  <c:v>5.3833333333333329</c:v>
                </c:pt>
                <c:pt idx="40">
                  <c:v>5.2733333333333334</c:v>
                </c:pt>
                <c:pt idx="41">
                  <c:v>5.1733333333333329</c:v>
                </c:pt>
                <c:pt idx="42">
                  <c:v>5.0633333333333335</c:v>
                </c:pt>
                <c:pt idx="43">
                  <c:v>4.9466666666666663</c:v>
                </c:pt>
                <c:pt idx="44">
                  <c:v>4.8500000000000005</c:v>
                </c:pt>
                <c:pt idx="45">
                  <c:v>4.7733333333333334</c:v>
                </c:pt>
                <c:pt idx="46">
                  <c:v>4.6766666666666667</c:v>
                </c:pt>
                <c:pt idx="47">
                  <c:v>4.5766666666666671</c:v>
                </c:pt>
                <c:pt idx="48">
                  <c:v>4.496666666666667</c:v>
                </c:pt>
                <c:pt idx="49">
                  <c:v>4.4333333333333336</c:v>
                </c:pt>
                <c:pt idx="50">
                  <c:v>4.34</c:v>
                </c:pt>
                <c:pt idx="51">
                  <c:v>4.25</c:v>
                </c:pt>
                <c:pt idx="52">
                  <c:v>4.1933333333333334</c:v>
                </c:pt>
                <c:pt idx="53">
                  <c:v>4.12</c:v>
                </c:pt>
                <c:pt idx="54">
                  <c:v>4.0266666666666664</c:v>
                </c:pt>
                <c:pt idx="55">
                  <c:v>3.9666666666666663</c:v>
                </c:pt>
                <c:pt idx="56">
                  <c:v>3.9200000000000004</c:v>
                </c:pt>
                <c:pt idx="57">
                  <c:v>3.84</c:v>
                </c:pt>
                <c:pt idx="58">
                  <c:v>3.78</c:v>
                </c:pt>
                <c:pt idx="59">
                  <c:v>3.7366666666666668</c:v>
                </c:pt>
                <c:pt idx="60">
                  <c:v>3.6666666666666665</c:v>
                </c:pt>
                <c:pt idx="61">
                  <c:v>3.6133333333333333</c:v>
                </c:pt>
                <c:pt idx="62">
                  <c:v>3.5766666666666667</c:v>
                </c:pt>
                <c:pt idx="63">
                  <c:v>3.51</c:v>
                </c:pt>
                <c:pt idx="64">
                  <c:v>3.4633333333333334</c:v>
                </c:pt>
                <c:pt idx="65">
                  <c:v>3.4266666666666663</c:v>
                </c:pt>
                <c:pt idx="66">
                  <c:v>3.3666666666666667</c:v>
                </c:pt>
                <c:pt idx="67">
                  <c:v>3.3333333333333335</c:v>
                </c:pt>
                <c:pt idx="68">
                  <c:v>3.293333333333333</c:v>
                </c:pt>
                <c:pt idx="69">
                  <c:v>3.2433333333333336</c:v>
                </c:pt>
                <c:pt idx="70">
                  <c:v>3.2233333333333332</c:v>
                </c:pt>
                <c:pt idx="71">
                  <c:v>3.17</c:v>
                </c:pt>
                <c:pt idx="72">
                  <c:v>3.1366666666666667</c:v>
                </c:pt>
                <c:pt idx="73">
                  <c:v>3.0933333333333333</c:v>
                </c:pt>
                <c:pt idx="74">
                  <c:v>3.0466666666666669</c:v>
                </c:pt>
                <c:pt idx="75">
                  <c:v>3.0233333333333334</c:v>
                </c:pt>
                <c:pt idx="76">
                  <c:v>2.9733333333333332</c:v>
                </c:pt>
                <c:pt idx="77">
                  <c:v>2.9466666666666668</c:v>
                </c:pt>
                <c:pt idx="78">
                  <c:v>2.9133333333333336</c:v>
                </c:pt>
                <c:pt idx="79">
                  <c:v>2.8833333333333333</c:v>
                </c:pt>
                <c:pt idx="80">
                  <c:v>2.8566666666666669</c:v>
                </c:pt>
                <c:pt idx="81">
                  <c:v>2.8200000000000003</c:v>
                </c:pt>
                <c:pt idx="82">
                  <c:v>2.8033333333333332</c:v>
                </c:pt>
                <c:pt idx="83">
                  <c:v>2.76</c:v>
                </c:pt>
                <c:pt idx="84">
                  <c:v>2.7466666666666666</c:v>
                </c:pt>
                <c:pt idx="85">
                  <c:v>2.7033333333333331</c:v>
                </c:pt>
                <c:pt idx="86">
                  <c:v>2.6833333333333331</c:v>
                </c:pt>
                <c:pt idx="87">
                  <c:v>2.6466666666666665</c:v>
                </c:pt>
                <c:pt idx="88">
                  <c:v>2.6233333333333331</c:v>
                </c:pt>
                <c:pt idx="89">
                  <c:v>2.5933333333333333</c:v>
                </c:pt>
                <c:pt idx="90">
                  <c:v>2.57</c:v>
                </c:pt>
                <c:pt idx="91">
                  <c:v>2.5400000000000005</c:v>
                </c:pt>
                <c:pt idx="92">
                  <c:v>2.52</c:v>
                </c:pt>
                <c:pt idx="93">
                  <c:v>2.4933333333333336</c:v>
                </c:pt>
                <c:pt idx="94">
                  <c:v>2.4766666666666666</c:v>
                </c:pt>
                <c:pt idx="95">
                  <c:v>2.4433333333333334</c:v>
                </c:pt>
                <c:pt idx="96">
                  <c:v>2.4333333333333331</c:v>
                </c:pt>
                <c:pt idx="97">
                  <c:v>2.4</c:v>
                </c:pt>
                <c:pt idx="98">
                  <c:v>2.3866666666666667</c:v>
                </c:pt>
                <c:pt idx="99">
                  <c:v>2.3533333333333335</c:v>
                </c:pt>
              </c:numCache>
            </c:numRef>
          </c:yVal>
          <c:smooth val="0"/>
          <c:extLst>
            <c:ext xmlns:c16="http://schemas.microsoft.com/office/drawing/2014/chart" uri="{C3380CC4-5D6E-409C-BE32-E72D297353CC}">
              <c16:uniqueId val="{00000000-0D34-486E-BD8D-8383E98DD4EF}"/>
            </c:ext>
          </c:extLst>
        </c:ser>
        <c:dLbls>
          <c:showLegendKey val="0"/>
          <c:showVal val="0"/>
          <c:showCatName val="0"/>
          <c:showSerName val="0"/>
          <c:showPercent val="0"/>
          <c:showBubbleSize val="0"/>
        </c:dLbls>
        <c:axId val="691321728"/>
        <c:axId val="691326048"/>
      </c:scatterChart>
      <c:valAx>
        <c:axId val="691321728"/>
        <c:scaling>
          <c:orientation val="minMax"/>
        </c:scaling>
        <c:delete val="0"/>
        <c:axPos val="b"/>
        <c:majorGridlines>
          <c:spPr>
            <a:ln w="9525" cap="flat" cmpd="sng" algn="ctr">
              <a:solidFill>
                <a:schemeClr val="tx2">
                  <a:lumMod val="15000"/>
                  <a:lumOff val="85000"/>
                </a:schemeClr>
              </a:solidFill>
              <a:round/>
            </a:ln>
            <a:effectLst/>
          </c:spPr>
        </c:majorGridlines>
        <c:title>
          <c:tx>
            <c:rich>
              <a:bodyPr rot="0" spcFirstLastPara="1" vertOverflow="ellipsis" vert="horz" wrap="square" anchor="ctr" anchorCtr="1"/>
              <a:lstStyle/>
              <a:p>
                <a:pPr>
                  <a:defRPr sz="900" b="1" i="0" u="none" strike="noStrike" kern="1200" baseline="0">
                    <a:solidFill>
                      <a:schemeClr val="tx2"/>
                    </a:solidFill>
                    <a:latin typeface="+mn-lt"/>
                    <a:ea typeface="+mn-ea"/>
                    <a:cs typeface="+mn-cs"/>
                  </a:defRPr>
                </a:pPr>
                <a:r>
                  <a:rPr lang="en-US"/>
                  <a:t>Shear rate (s</a:t>
                </a:r>
                <a:r>
                  <a:rPr lang="en-US" baseline="30000"/>
                  <a:t>-1</a:t>
                </a:r>
                <a:r>
                  <a:rPr lang="en-US"/>
                  <a:t>)</a:t>
                </a:r>
              </a:p>
            </c:rich>
          </c:tx>
          <c:overlay val="0"/>
          <c:spPr>
            <a:noFill/>
            <a:ln>
              <a:noFill/>
            </a:ln>
            <a:effectLst/>
          </c:spPr>
          <c:txPr>
            <a:bodyPr rot="0" spcFirstLastPara="1" vertOverflow="ellipsis" vert="horz" wrap="square" anchor="ctr" anchorCtr="1"/>
            <a:lstStyle/>
            <a:p>
              <a:pPr>
                <a:defRPr sz="900" b="1" i="0" u="none" strike="noStrike" kern="1200" baseline="0">
                  <a:solidFill>
                    <a:schemeClr val="tx2"/>
                  </a:solidFill>
                  <a:latin typeface="+mn-lt"/>
                  <a:ea typeface="+mn-ea"/>
                  <a:cs typeface="+mn-cs"/>
                </a:defRPr>
              </a:pPr>
              <a:endParaRPr lang="en-US"/>
            </a:p>
          </c:txPr>
        </c:title>
        <c:numFmt formatCode="General" sourceLinked="1"/>
        <c:majorTickMark val="none"/>
        <c:minorTickMark val="none"/>
        <c:tickLblPos val="nextTo"/>
        <c:spPr>
          <a:noFill/>
          <a:ln w="9525" cap="flat" cmpd="sng" algn="ctr">
            <a:solidFill>
              <a:schemeClr val="tx2">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2"/>
                </a:solidFill>
                <a:latin typeface="+mn-lt"/>
                <a:ea typeface="+mn-ea"/>
                <a:cs typeface="+mn-cs"/>
              </a:defRPr>
            </a:pPr>
            <a:endParaRPr lang="en-US"/>
          </a:p>
        </c:txPr>
        <c:crossAx val="691326048"/>
        <c:crosses val="autoZero"/>
        <c:crossBetween val="midCat"/>
      </c:valAx>
      <c:valAx>
        <c:axId val="691326048"/>
        <c:scaling>
          <c:orientation val="minMax"/>
        </c:scaling>
        <c:delete val="0"/>
        <c:axPos val="l"/>
        <c:majorGridlines>
          <c:spPr>
            <a:ln w="9525" cap="flat" cmpd="sng" algn="ctr">
              <a:solidFill>
                <a:schemeClr val="tx2">
                  <a:lumMod val="15000"/>
                  <a:lumOff val="85000"/>
                </a:schemeClr>
              </a:solidFill>
              <a:round/>
            </a:ln>
            <a:effectLst/>
          </c:spPr>
        </c:majorGridlines>
        <c:title>
          <c:tx>
            <c:rich>
              <a:bodyPr rot="-5400000" spcFirstLastPara="1" vertOverflow="ellipsis" vert="horz" wrap="square" anchor="ctr" anchorCtr="1"/>
              <a:lstStyle/>
              <a:p>
                <a:pPr>
                  <a:defRPr sz="900" b="1" i="0" u="none" strike="noStrike" kern="1200" baseline="0">
                    <a:solidFill>
                      <a:schemeClr val="tx2"/>
                    </a:solidFill>
                    <a:latin typeface="+mn-lt"/>
                    <a:ea typeface="+mn-ea"/>
                    <a:cs typeface="+mn-cs"/>
                  </a:defRPr>
                </a:pPr>
                <a:r>
                  <a:rPr lang="en-US"/>
                  <a:t>Viscosity (Pa.s)</a:t>
                </a:r>
              </a:p>
            </c:rich>
          </c:tx>
          <c:overlay val="0"/>
          <c:spPr>
            <a:noFill/>
            <a:ln>
              <a:noFill/>
            </a:ln>
            <a:effectLst/>
          </c:spPr>
          <c:txPr>
            <a:bodyPr rot="-5400000" spcFirstLastPara="1" vertOverflow="ellipsis" vert="horz" wrap="square" anchor="ctr" anchorCtr="1"/>
            <a:lstStyle/>
            <a:p>
              <a:pPr>
                <a:defRPr sz="900" b="1" i="0" u="none" strike="noStrike" kern="1200" baseline="0">
                  <a:solidFill>
                    <a:schemeClr val="tx2"/>
                  </a:solidFill>
                  <a:latin typeface="+mn-lt"/>
                  <a:ea typeface="+mn-ea"/>
                  <a:cs typeface="+mn-cs"/>
                </a:defRPr>
              </a:pPr>
              <a:endParaRPr lang="en-US"/>
            </a:p>
          </c:txPr>
        </c:title>
        <c:numFmt formatCode="General" sourceLinked="1"/>
        <c:majorTickMark val="none"/>
        <c:minorTickMark val="none"/>
        <c:tickLblPos val="nextTo"/>
        <c:spPr>
          <a:noFill/>
          <a:ln>
            <a:solidFill>
              <a:schemeClr val="tx2">
                <a:lumMod val="40000"/>
                <a:lumOff val="60000"/>
              </a:schemeClr>
            </a:solidFill>
          </a:ln>
          <a:effectLst/>
        </c:spPr>
        <c:txPr>
          <a:bodyPr rot="-60000000" spcFirstLastPara="1" vertOverflow="ellipsis" vert="horz" wrap="square" anchor="ctr" anchorCtr="1"/>
          <a:lstStyle/>
          <a:p>
            <a:pPr>
              <a:defRPr sz="900" b="0" i="0" u="none" strike="noStrike" kern="1200" baseline="0">
                <a:solidFill>
                  <a:schemeClr val="tx2"/>
                </a:solidFill>
                <a:latin typeface="+mn-lt"/>
                <a:ea typeface="+mn-ea"/>
                <a:cs typeface="+mn-cs"/>
              </a:defRPr>
            </a:pPr>
            <a:endParaRPr lang="en-US"/>
          </a:p>
        </c:txPr>
        <c:crossAx val="691321728"/>
        <c:crosses val="autoZero"/>
        <c:crossBetween val="midCat"/>
      </c:valAx>
      <c:spPr>
        <a:noFill/>
        <a:ln>
          <a:noFill/>
        </a:ln>
        <a:effectLst/>
      </c:spPr>
    </c:plotArea>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31750" cap="flat" cmpd="thickThin" algn="ctr">
      <a:solidFill>
        <a:srgbClr val="7030A0"/>
      </a:solidFill>
      <a:round/>
    </a:ln>
    <a:effectLst/>
  </c:spPr>
  <c:txPr>
    <a:bodyPr/>
    <a:lstStyle/>
    <a:p>
      <a:pPr>
        <a:defRPr/>
      </a:pPr>
      <a:endParaRPr lang="en-US"/>
    </a:p>
  </c:txPr>
  <c:externalData r:id="rId3">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overlay val="0"/>
      <c:spPr>
        <a:noFill/>
        <a:ln>
          <a:noFill/>
        </a:ln>
        <a:effectLst/>
      </c:spPr>
      <c:txPr>
        <a:bodyPr rot="0" spcFirstLastPara="1" vertOverflow="ellipsis" vert="horz" wrap="square" anchor="ctr" anchorCtr="1"/>
        <a:lstStyle/>
        <a:p>
          <a:pPr>
            <a:defRPr sz="1000" b="1" i="0" u="none" strike="noStrike" kern="1200" baseline="0">
              <a:solidFill>
                <a:schemeClr val="tx2"/>
              </a:solidFill>
              <a:latin typeface="Arial" panose="020B0604020202020204" pitchFamily="34" charset="0"/>
              <a:ea typeface="+mn-ea"/>
              <a:cs typeface="Arial" panose="020B0604020202020204" pitchFamily="34" charset="0"/>
            </a:defRPr>
          </a:pPr>
          <a:endParaRPr lang="en-US"/>
        </a:p>
      </c:txPr>
    </c:title>
    <c:autoTitleDeleted val="0"/>
    <c:plotArea>
      <c:layout/>
      <c:scatterChart>
        <c:scatterStyle val="lineMarker"/>
        <c:varyColors val="0"/>
        <c:ser>
          <c:idx val="0"/>
          <c:order val="0"/>
          <c:tx>
            <c:v>Viscosity versus Shear rate</c:v>
          </c:tx>
          <c:spPr>
            <a:ln w="25400" cap="rnd">
              <a:noFill/>
              <a:round/>
            </a:ln>
            <a:effectLst/>
          </c:spPr>
          <c:marker>
            <c:symbol val="circle"/>
            <c:size val="5"/>
            <c:spPr>
              <a:gradFill rotWithShape="1">
                <a:gsLst>
                  <a:gs pos="0">
                    <a:schemeClr val="accent1">
                      <a:satMod val="103000"/>
                      <a:lumMod val="102000"/>
                      <a:tint val="94000"/>
                    </a:schemeClr>
                  </a:gs>
                  <a:gs pos="50000">
                    <a:schemeClr val="accent1">
                      <a:satMod val="110000"/>
                      <a:lumMod val="100000"/>
                      <a:shade val="100000"/>
                    </a:schemeClr>
                  </a:gs>
                  <a:gs pos="100000">
                    <a:schemeClr val="accent1">
                      <a:lumMod val="99000"/>
                      <a:satMod val="120000"/>
                      <a:shade val="78000"/>
                    </a:schemeClr>
                  </a:gs>
                </a:gsLst>
                <a:lin ang="5400000" scaled="0"/>
              </a:gradFill>
              <a:ln w="9525">
                <a:solidFill>
                  <a:schemeClr val="accent1"/>
                </a:solidFill>
                <a:round/>
              </a:ln>
              <a:effectLst/>
            </c:spPr>
          </c:marker>
          <c:xVal>
            <c:numRef>
              <c:f>'[FTIR Test.xlsx]Rheology &amp; Visco F3'!$E$3:$E$102</c:f>
              <c:numCache>
                <c:formatCode>General</c:formatCode>
                <c:ptCount val="100"/>
                <c:pt idx="0">
                  <c:v>0.82566666666666666</c:v>
                </c:pt>
                <c:pt idx="1">
                  <c:v>2</c:v>
                </c:pt>
                <c:pt idx="2">
                  <c:v>3</c:v>
                </c:pt>
                <c:pt idx="3">
                  <c:v>4.01</c:v>
                </c:pt>
                <c:pt idx="4">
                  <c:v>5.01</c:v>
                </c:pt>
                <c:pt idx="5">
                  <c:v>6.0100000000000007</c:v>
                </c:pt>
                <c:pt idx="6">
                  <c:v>7.0100000000000007</c:v>
                </c:pt>
                <c:pt idx="7">
                  <c:v>8.01</c:v>
                </c:pt>
                <c:pt idx="8">
                  <c:v>9.01</c:v>
                </c:pt>
                <c:pt idx="9">
                  <c:v>10</c:v>
                </c:pt>
                <c:pt idx="10">
                  <c:v>11</c:v>
                </c:pt>
                <c:pt idx="11">
                  <c:v>12</c:v>
                </c:pt>
                <c:pt idx="12">
                  <c:v>13</c:v>
                </c:pt>
                <c:pt idx="13">
                  <c:v>14</c:v>
                </c:pt>
                <c:pt idx="14">
                  <c:v>15</c:v>
                </c:pt>
                <c:pt idx="15">
                  <c:v>16</c:v>
                </c:pt>
                <c:pt idx="16">
                  <c:v>17</c:v>
                </c:pt>
                <c:pt idx="17">
                  <c:v>18</c:v>
                </c:pt>
                <c:pt idx="18">
                  <c:v>19</c:v>
                </c:pt>
                <c:pt idx="19">
                  <c:v>20</c:v>
                </c:pt>
                <c:pt idx="20">
                  <c:v>21</c:v>
                </c:pt>
                <c:pt idx="21">
                  <c:v>22</c:v>
                </c:pt>
                <c:pt idx="22">
                  <c:v>23</c:v>
                </c:pt>
                <c:pt idx="23">
                  <c:v>24</c:v>
                </c:pt>
                <c:pt idx="24">
                  <c:v>25</c:v>
                </c:pt>
                <c:pt idx="25">
                  <c:v>26</c:v>
                </c:pt>
                <c:pt idx="26">
                  <c:v>27</c:v>
                </c:pt>
                <c:pt idx="27">
                  <c:v>28</c:v>
                </c:pt>
                <c:pt idx="28">
                  <c:v>29</c:v>
                </c:pt>
                <c:pt idx="29">
                  <c:v>30</c:v>
                </c:pt>
                <c:pt idx="30">
                  <c:v>31</c:v>
                </c:pt>
                <c:pt idx="31">
                  <c:v>32</c:v>
                </c:pt>
                <c:pt idx="32">
                  <c:v>33</c:v>
                </c:pt>
                <c:pt idx="33">
                  <c:v>34</c:v>
                </c:pt>
                <c:pt idx="34">
                  <c:v>35</c:v>
                </c:pt>
                <c:pt idx="35">
                  <c:v>36</c:v>
                </c:pt>
                <c:pt idx="36">
                  <c:v>37</c:v>
                </c:pt>
                <c:pt idx="37">
                  <c:v>38</c:v>
                </c:pt>
                <c:pt idx="38">
                  <c:v>39</c:v>
                </c:pt>
                <c:pt idx="39">
                  <c:v>40</c:v>
                </c:pt>
                <c:pt idx="40">
                  <c:v>41</c:v>
                </c:pt>
                <c:pt idx="41">
                  <c:v>42</c:v>
                </c:pt>
                <c:pt idx="42">
                  <c:v>43</c:v>
                </c:pt>
                <c:pt idx="43">
                  <c:v>44</c:v>
                </c:pt>
                <c:pt idx="44">
                  <c:v>45</c:v>
                </c:pt>
                <c:pt idx="45">
                  <c:v>46</c:v>
                </c:pt>
                <c:pt idx="46">
                  <c:v>47</c:v>
                </c:pt>
                <c:pt idx="47">
                  <c:v>48</c:v>
                </c:pt>
                <c:pt idx="48">
                  <c:v>49</c:v>
                </c:pt>
                <c:pt idx="49">
                  <c:v>50</c:v>
                </c:pt>
                <c:pt idx="50">
                  <c:v>51</c:v>
                </c:pt>
                <c:pt idx="51">
                  <c:v>52</c:v>
                </c:pt>
                <c:pt idx="52">
                  <c:v>53</c:v>
                </c:pt>
                <c:pt idx="53">
                  <c:v>54</c:v>
                </c:pt>
                <c:pt idx="54">
                  <c:v>55</c:v>
                </c:pt>
                <c:pt idx="55">
                  <c:v>56</c:v>
                </c:pt>
                <c:pt idx="56">
                  <c:v>57</c:v>
                </c:pt>
                <c:pt idx="57">
                  <c:v>58</c:v>
                </c:pt>
                <c:pt idx="58">
                  <c:v>59</c:v>
                </c:pt>
                <c:pt idx="59">
                  <c:v>60</c:v>
                </c:pt>
                <c:pt idx="60">
                  <c:v>61</c:v>
                </c:pt>
                <c:pt idx="61">
                  <c:v>62</c:v>
                </c:pt>
                <c:pt idx="62">
                  <c:v>63</c:v>
                </c:pt>
                <c:pt idx="63">
                  <c:v>64</c:v>
                </c:pt>
                <c:pt idx="64">
                  <c:v>65</c:v>
                </c:pt>
                <c:pt idx="65">
                  <c:v>66</c:v>
                </c:pt>
                <c:pt idx="66">
                  <c:v>67</c:v>
                </c:pt>
                <c:pt idx="67">
                  <c:v>68</c:v>
                </c:pt>
                <c:pt idx="68">
                  <c:v>69</c:v>
                </c:pt>
                <c:pt idx="69">
                  <c:v>70</c:v>
                </c:pt>
                <c:pt idx="70">
                  <c:v>71</c:v>
                </c:pt>
                <c:pt idx="71">
                  <c:v>72</c:v>
                </c:pt>
                <c:pt idx="72">
                  <c:v>73</c:v>
                </c:pt>
                <c:pt idx="73">
                  <c:v>74</c:v>
                </c:pt>
                <c:pt idx="74">
                  <c:v>75</c:v>
                </c:pt>
                <c:pt idx="75">
                  <c:v>76</c:v>
                </c:pt>
                <c:pt idx="76">
                  <c:v>77</c:v>
                </c:pt>
                <c:pt idx="77">
                  <c:v>78</c:v>
                </c:pt>
                <c:pt idx="78">
                  <c:v>79</c:v>
                </c:pt>
                <c:pt idx="79">
                  <c:v>80</c:v>
                </c:pt>
                <c:pt idx="80">
                  <c:v>81</c:v>
                </c:pt>
                <c:pt idx="81">
                  <c:v>82</c:v>
                </c:pt>
                <c:pt idx="82">
                  <c:v>83</c:v>
                </c:pt>
                <c:pt idx="83">
                  <c:v>84</c:v>
                </c:pt>
                <c:pt idx="84">
                  <c:v>85</c:v>
                </c:pt>
                <c:pt idx="85">
                  <c:v>86</c:v>
                </c:pt>
                <c:pt idx="86">
                  <c:v>87</c:v>
                </c:pt>
                <c:pt idx="87">
                  <c:v>88</c:v>
                </c:pt>
                <c:pt idx="88">
                  <c:v>89</c:v>
                </c:pt>
                <c:pt idx="89">
                  <c:v>90</c:v>
                </c:pt>
                <c:pt idx="90">
                  <c:v>91</c:v>
                </c:pt>
                <c:pt idx="91">
                  <c:v>92</c:v>
                </c:pt>
                <c:pt idx="92">
                  <c:v>93</c:v>
                </c:pt>
                <c:pt idx="93">
                  <c:v>94</c:v>
                </c:pt>
                <c:pt idx="94">
                  <c:v>95</c:v>
                </c:pt>
                <c:pt idx="95">
                  <c:v>96</c:v>
                </c:pt>
                <c:pt idx="96">
                  <c:v>97</c:v>
                </c:pt>
                <c:pt idx="97">
                  <c:v>98</c:v>
                </c:pt>
                <c:pt idx="98">
                  <c:v>99</c:v>
                </c:pt>
                <c:pt idx="99">
                  <c:v>100</c:v>
                </c:pt>
              </c:numCache>
            </c:numRef>
          </c:xVal>
          <c:yVal>
            <c:numRef>
              <c:f>'[FTIR Test.xlsx]Rheology &amp; Visco F3'!$E$107:$E$206</c:f>
              <c:numCache>
                <c:formatCode>General</c:formatCode>
                <c:ptCount val="100"/>
                <c:pt idx="0">
                  <c:v>113.06666666666666</c:v>
                </c:pt>
                <c:pt idx="1">
                  <c:v>56.400000000000006</c:v>
                </c:pt>
                <c:pt idx="2">
                  <c:v>41.1</c:v>
                </c:pt>
                <c:pt idx="3">
                  <c:v>32.733333333333334</c:v>
                </c:pt>
                <c:pt idx="4">
                  <c:v>27.3</c:v>
                </c:pt>
                <c:pt idx="5">
                  <c:v>23.333333333333332</c:v>
                </c:pt>
                <c:pt idx="6">
                  <c:v>20.466666666666665</c:v>
                </c:pt>
                <c:pt idx="7">
                  <c:v>18.099999999999998</c:v>
                </c:pt>
                <c:pt idx="8">
                  <c:v>16.333333333333332</c:v>
                </c:pt>
                <c:pt idx="9">
                  <c:v>14.800000000000002</c:v>
                </c:pt>
                <c:pt idx="10">
                  <c:v>13.6</c:v>
                </c:pt>
                <c:pt idx="11">
                  <c:v>12.6</c:v>
                </c:pt>
                <c:pt idx="12">
                  <c:v>11.666666666666666</c:v>
                </c:pt>
                <c:pt idx="13">
                  <c:v>10.933333333333332</c:v>
                </c:pt>
                <c:pt idx="14">
                  <c:v>10.263333333333334</c:v>
                </c:pt>
                <c:pt idx="15">
                  <c:v>9.7066666666666652</c:v>
                </c:pt>
                <c:pt idx="16">
                  <c:v>9.1866666666666674</c:v>
                </c:pt>
                <c:pt idx="17">
                  <c:v>8.7433333333333341</c:v>
                </c:pt>
                <c:pt idx="18">
                  <c:v>8.31</c:v>
                </c:pt>
                <c:pt idx="19">
                  <c:v>7.916666666666667</c:v>
                </c:pt>
                <c:pt idx="20">
                  <c:v>7.56</c:v>
                </c:pt>
                <c:pt idx="21">
                  <c:v>7.2233333333333336</c:v>
                </c:pt>
                <c:pt idx="22">
                  <c:v>6.94</c:v>
                </c:pt>
                <c:pt idx="23">
                  <c:v>6.6733333333333347</c:v>
                </c:pt>
                <c:pt idx="24">
                  <c:v>6.4533333333333331</c:v>
                </c:pt>
                <c:pt idx="25">
                  <c:v>6.2399999999999993</c:v>
                </c:pt>
                <c:pt idx="26">
                  <c:v>6.0266666666666664</c:v>
                </c:pt>
                <c:pt idx="27">
                  <c:v>5.8166666666666664</c:v>
                </c:pt>
                <c:pt idx="28">
                  <c:v>5.62</c:v>
                </c:pt>
                <c:pt idx="29">
                  <c:v>5.4466666666666663</c:v>
                </c:pt>
                <c:pt idx="30">
                  <c:v>5.293333333333333</c:v>
                </c:pt>
                <c:pt idx="31">
                  <c:v>5.16</c:v>
                </c:pt>
                <c:pt idx="32">
                  <c:v>5.0266666666666664</c:v>
                </c:pt>
                <c:pt idx="33">
                  <c:v>4.88</c:v>
                </c:pt>
                <c:pt idx="34">
                  <c:v>4.7433333333333332</c:v>
                </c:pt>
                <c:pt idx="35">
                  <c:v>4.63</c:v>
                </c:pt>
                <c:pt idx="36">
                  <c:v>4.5333333333333341</c:v>
                </c:pt>
                <c:pt idx="37">
                  <c:v>4.4266666666666667</c:v>
                </c:pt>
                <c:pt idx="38">
                  <c:v>4.3099999999999996</c:v>
                </c:pt>
                <c:pt idx="39">
                  <c:v>4.2066666666666661</c:v>
                </c:pt>
                <c:pt idx="40">
                  <c:v>4.12</c:v>
                </c:pt>
                <c:pt idx="41">
                  <c:v>4.0433333333333339</c:v>
                </c:pt>
                <c:pt idx="42">
                  <c:v>3.9533333333333336</c:v>
                </c:pt>
                <c:pt idx="43">
                  <c:v>3.8566666666666669</c:v>
                </c:pt>
                <c:pt idx="44">
                  <c:v>3.7866666666666666</c:v>
                </c:pt>
                <c:pt idx="45">
                  <c:v>3.7233333333333332</c:v>
                </c:pt>
                <c:pt idx="46">
                  <c:v>3.6500000000000004</c:v>
                </c:pt>
                <c:pt idx="47">
                  <c:v>3.5700000000000003</c:v>
                </c:pt>
                <c:pt idx="48">
                  <c:v>3.5033333333333334</c:v>
                </c:pt>
                <c:pt idx="49">
                  <c:v>3.4600000000000004</c:v>
                </c:pt>
                <c:pt idx="50">
                  <c:v>3.39</c:v>
                </c:pt>
                <c:pt idx="51">
                  <c:v>3.32</c:v>
                </c:pt>
                <c:pt idx="52">
                  <c:v>3.28</c:v>
                </c:pt>
                <c:pt idx="53">
                  <c:v>3.23</c:v>
                </c:pt>
                <c:pt idx="54">
                  <c:v>3.1700000000000004</c:v>
                </c:pt>
                <c:pt idx="55">
                  <c:v>3.1233333333333335</c:v>
                </c:pt>
                <c:pt idx="56">
                  <c:v>3.09</c:v>
                </c:pt>
                <c:pt idx="57">
                  <c:v>3.0333333333333332</c:v>
                </c:pt>
                <c:pt idx="58">
                  <c:v>2.9899999999999998</c:v>
                </c:pt>
                <c:pt idx="59">
                  <c:v>2.9600000000000004</c:v>
                </c:pt>
                <c:pt idx="60">
                  <c:v>2.9099999999999997</c:v>
                </c:pt>
                <c:pt idx="61">
                  <c:v>2.8633333333333333</c:v>
                </c:pt>
                <c:pt idx="62">
                  <c:v>2.8366666666666664</c:v>
                </c:pt>
                <c:pt idx="63">
                  <c:v>2.7866666666666666</c:v>
                </c:pt>
                <c:pt idx="64">
                  <c:v>2.7466666666666666</c:v>
                </c:pt>
                <c:pt idx="65">
                  <c:v>2.7133333333333334</c:v>
                </c:pt>
                <c:pt idx="66">
                  <c:v>2.6633333333333336</c:v>
                </c:pt>
                <c:pt idx="67">
                  <c:v>2.64</c:v>
                </c:pt>
                <c:pt idx="68">
                  <c:v>2.6033333333333331</c:v>
                </c:pt>
                <c:pt idx="69">
                  <c:v>2.5666666666666669</c:v>
                </c:pt>
                <c:pt idx="70">
                  <c:v>2.5466666666666669</c:v>
                </c:pt>
                <c:pt idx="71">
                  <c:v>2.5066666666666664</c:v>
                </c:pt>
                <c:pt idx="72">
                  <c:v>2.4733333333333332</c:v>
                </c:pt>
                <c:pt idx="73">
                  <c:v>2.4533333333333336</c:v>
                </c:pt>
                <c:pt idx="74">
                  <c:v>2.4166666666666665</c:v>
                </c:pt>
                <c:pt idx="75">
                  <c:v>2.4033333333333329</c:v>
                </c:pt>
                <c:pt idx="76">
                  <c:v>2.3666666666666667</c:v>
                </c:pt>
                <c:pt idx="77">
                  <c:v>2.3433333333333333</c:v>
                </c:pt>
                <c:pt idx="78">
                  <c:v>2.3166666666666669</c:v>
                </c:pt>
                <c:pt idx="79">
                  <c:v>2.2933333333333334</c:v>
                </c:pt>
                <c:pt idx="80">
                  <c:v>2.27</c:v>
                </c:pt>
                <c:pt idx="81">
                  <c:v>2.2400000000000002</c:v>
                </c:pt>
                <c:pt idx="82">
                  <c:v>2.226666666666667</c:v>
                </c:pt>
                <c:pt idx="83">
                  <c:v>2.1966666666666668</c:v>
                </c:pt>
                <c:pt idx="84">
                  <c:v>2.1833333333333336</c:v>
                </c:pt>
                <c:pt idx="85">
                  <c:v>2.15</c:v>
                </c:pt>
                <c:pt idx="86">
                  <c:v>2.1366666666666667</c:v>
                </c:pt>
                <c:pt idx="87">
                  <c:v>2.11</c:v>
                </c:pt>
                <c:pt idx="88">
                  <c:v>2.0933333333333333</c:v>
                </c:pt>
                <c:pt idx="89">
                  <c:v>2.0666666666666669</c:v>
                </c:pt>
                <c:pt idx="90">
                  <c:v>2.0533333333333332</c:v>
                </c:pt>
                <c:pt idx="91">
                  <c:v>2.0266666666666668</c:v>
                </c:pt>
                <c:pt idx="92">
                  <c:v>2.0133333333333332</c:v>
                </c:pt>
                <c:pt idx="93">
                  <c:v>1.99</c:v>
                </c:pt>
                <c:pt idx="94">
                  <c:v>1.9766666666666666</c:v>
                </c:pt>
                <c:pt idx="95">
                  <c:v>1.95</c:v>
                </c:pt>
                <c:pt idx="96">
                  <c:v>1.9400000000000002</c:v>
                </c:pt>
                <c:pt idx="97">
                  <c:v>1.92</c:v>
                </c:pt>
                <c:pt idx="98">
                  <c:v>1.906666666666667</c:v>
                </c:pt>
                <c:pt idx="99">
                  <c:v>1.8833333333333335</c:v>
                </c:pt>
              </c:numCache>
            </c:numRef>
          </c:yVal>
          <c:smooth val="0"/>
          <c:extLst>
            <c:ext xmlns:c16="http://schemas.microsoft.com/office/drawing/2014/chart" uri="{C3380CC4-5D6E-409C-BE32-E72D297353CC}">
              <c16:uniqueId val="{00000000-3DD5-4949-84BF-34FCBB69F431}"/>
            </c:ext>
          </c:extLst>
        </c:ser>
        <c:dLbls>
          <c:showLegendKey val="0"/>
          <c:showVal val="0"/>
          <c:showCatName val="0"/>
          <c:showSerName val="0"/>
          <c:showPercent val="0"/>
          <c:showBubbleSize val="0"/>
        </c:dLbls>
        <c:axId val="805778016"/>
        <c:axId val="805779456"/>
      </c:scatterChart>
      <c:valAx>
        <c:axId val="805778016"/>
        <c:scaling>
          <c:orientation val="minMax"/>
        </c:scaling>
        <c:delete val="0"/>
        <c:axPos val="b"/>
        <c:majorGridlines>
          <c:spPr>
            <a:ln w="9525" cap="flat" cmpd="sng" algn="ctr">
              <a:solidFill>
                <a:schemeClr val="tx2">
                  <a:lumMod val="15000"/>
                  <a:lumOff val="85000"/>
                </a:schemeClr>
              </a:solidFill>
              <a:round/>
            </a:ln>
            <a:effectLst/>
          </c:spPr>
        </c:majorGridlines>
        <c:title>
          <c:tx>
            <c:rich>
              <a:bodyPr rot="0" spcFirstLastPara="1" vertOverflow="ellipsis" vert="horz" wrap="square" anchor="ctr" anchorCtr="1"/>
              <a:lstStyle/>
              <a:p>
                <a:pPr>
                  <a:defRPr sz="900" b="1" i="0" u="none" strike="noStrike" kern="1200" baseline="0">
                    <a:solidFill>
                      <a:schemeClr val="tx2"/>
                    </a:solidFill>
                    <a:latin typeface="+mn-lt"/>
                    <a:ea typeface="+mn-ea"/>
                    <a:cs typeface="+mn-cs"/>
                  </a:defRPr>
                </a:pPr>
                <a:r>
                  <a:rPr lang="en-MY"/>
                  <a:t>Shear rate (s</a:t>
                </a:r>
                <a:r>
                  <a:rPr lang="en-MY" baseline="30000"/>
                  <a:t>-1</a:t>
                </a:r>
                <a:r>
                  <a:rPr lang="en-MY"/>
                  <a:t>)</a:t>
                </a:r>
              </a:p>
            </c:rich>
          </c:tx>
          <c:overlay val="0"/>
          <c:spPr>
            <a:noFill/>
            <a:ln>
              <a:noFill/>
            </a:ln>
            <a:effectLst/>
          </c:spPr>
          <c:txPr>
            <a:bodyPr rot="0" spcFirstLastPara="1" vertOverflow="ellipsis" vert="horz" wrap="square" anchor="ctr" anchorCtr="1"/>
            <a:lstStyle/>
            <a:p>
              <a:pPr>
                <a:defRPr sz="900" b="1" i="0" u="none" strike="noStrike" kern="1200" baseline="0">
                  <a:solidFill>
                    <a:schemeClr val="tx2"/>
                  </a:solidFill>
                  <a:latin typeface="+mn-lt"/>
                  <a:ea typeface="+mn-ea"/>
                  <a:cs typeface="+mn-cs"/>
                </a:defRPr>
              </a:pPr>
              <a:endParaRPr lang="en-US"/>
            </a:p>
          </c:txPr>
        </c:title>
        <c:numFmt formatCode="General" sourceLinked="1"/>
        <c:majorTickMark val="none"/>
        <c:minorTickMark val="none"/>
        <c:tickLblPos val="nextTo"/>
        <c:spPr>
          <a:noFill/>
          <a:ln w="9525" cap="flat" cmpd="sng" algn="ctr">
            <a:solidFill>
              <a:schemeClr val="tx2">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2"/>
                </a:solidFill>
                <a:latin typeface="+mn-lt"/>
                <a:ea typeface="+mn-ea"/>
                <a:cs typeface="+mn-cs"/>
              </a:defRPr>
            </a:pPr>
            <a:endParaRPr lang="en-US"/>
          </a:p>
        </c:txPr>
        <c:crossAx val="805779456"/>
        <c:crosses val="autoZero"/>
        <c:crossBetween val="midCat"/>
      </c:valAx>
      <c:valAx>
        <c:axId val="805779456"/>
        <c:scaling>
          <c:orientation val="minMax"/>
        </c:scaling>
        <c:delete val="0"/>
        <c:axPos val="l"/>
        <c:majorGridlines>
          <c:spPr>
            <a:ln w="9525" cap="flat" cmpd="sng" algn="ctr">
              <a:solidFill>
                <a:schemeClr val="tx2">
                  <a:lumMod val="15000"/>
                  <a:lumOff val="85000"/>
                </a:schemeClr>
              </a:solidFill>
              <a:round/>
            </a:ln>
            <a:effectLst/>
          </c:spPr>
        </c:majorGridlines>
        <c:title>
          <c:tx>
            <c:rich>
              <a:bodyPr rot="-5400000" spcFirstLastPara="1" vertOverflow="ellipsis" vert="horz" wrap="square" anchor="ctr" anchorCtr="1"/>
              <a:lstStyle/>
              <a:p>
                <a:pPr>
                  <a:defRPr sz="900" b="1" i="0" u="none" strike="noStrike" kern="1200" baseline="0">
                    <a:solidFill>
                      <a:schemeClr val="tx2"/>
                    </a:solidFill>
                    <a:latin typeface="+mn-lt"/>
                    <a:ea typeface="+mn-ea"/>
                    <a:cs typeface="+mn-cs"/>
                  </a:defRPr>
                </a:pPr>
                <a:r>
                  <a:rPr lang="en-MY"/>
                  <a:t>Viscosity (Pa.s)</a:t>
                </a:r>
              </a:p>
            </c:rich>
          </c:tx>
          <c:overlay val="0"/>
          <c:spPr>
            <a:noFill/>
            <a:ln>
              <a:noFill/>
            </a:ln>
            <a:effectLst/>
          </c:spPr>
          <c:txPr>
            <a:bodyPr rot="-5400000" spcFirstLastPara="1" vertOverflow="ellipsis" vert="horz" wrap="square" anchor="ctr" anchorCtr="1"/>
            <a:lstStyle/>
            <a:p>
              <a:pPr>
                <a:defRPr sz="900" b="1" i="0" u="none" strike="noStrike" kern="1200" baseline="0">
                  <a:solidFill>
                    <a:schemeClr val="tx2"/>
                  </a:solidFill>
                  <a:latin typeface="+mn-lt"/>
                  <a:ea typeface="+mn-ea"/>
                  <a:cs typeface="+mn-cs"/>
                </a:defRPr>
              </a:pPr>
              <a:endParaRPr lang="en-US"/>
            </a:p>
          </c:txPr>
        </c:title>
        <c:numFmt formatCode="General" sourceLinked="1"/>
        <c:majorTickMark val="none"/>
        <c:minorTickMark val="none"/>
        <c:tickLblPos val="nextTo"/>
        <c:spPr>
          <a:noFill/>
          <a:ln>
            <a:solidFill>
              <a:schemeClr val="tx2">
                <a:lumMod val="40000"/>
                <a:lumOff val="60000"/>
              </a:schemeClr>
            </a:solidFill>
          </a:ln>
          <a:effectLst/>
        </c:spPr>
        <c:txPr>
          <a:bodyPr rot="-60000000" spcFirstLastPara="1" vertOverflow="ellipsis" vert="horz" wrap="square" anchor="ctr" anchorCtr="1"/>
          <a:lstStyle/>
          <a:p>
            <a:pPr>
              <a:defRPr sz="900" b="0" i="0" u="none" strike="noStrike" kern="1200" baseline="0">
                <a:solidFill>
                  <a:schemeClr val="tx2"/>
                </a:solidFill>
                <a:latin typeface="+mn-lt"/>
                <a:ea typeface="+mn-ea"/>
                <a:cs typeface="+mn-cs"/>
              </a:defRPr>
            </a:pPr>
            <a:endParaRPr lang="en-US"/>
          </a:p>
        </c:txPr>
        <c:crossAx val="805778016"/>
        <c:crosses val="autoZero"/>
        <c:crossBetween val="midCat"/>
      </c:valAx>
      <c:spPr>
        <a:noFill/>
        <a:ln>
          <a:noFill/>
        </a:ln>
        <a:effectLst/>
      </c:spPr>
    </c:plotArea>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31750" cap="flat" cmpd="thickThin" algn="ctr">
      <a:solidFill>
        <a:srgbClr val="7030A0"/>
      </a:solidFill>
      <a:round/>
    </a:ln>
    <a:effectLst/>
  </c:spPr>
  <c:txPr>
    <a:bodyPr/>
    <a:lstStyle/>
    <a:p>
      <a:pPr>
        <a:defRPr/>
      </a:pPr>
      <a:endParaRPr lang="en-US"/>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42">
  <cs:axisTitle>
    <cs:lnRef idx="0"/>
    <cs:fillRef idx="0"/>
    <cs:effectRef idx="0"/>
    <cs:fontRef idx="minor">
      <a:schemeClr val="tx2"/>
    </cs:fontRef>
    <cs:defRPr sz="900" b="1" kern="1200"/>
  </cs:axisTitle>
  <cs:categoryAxis>
    <cs:lnRef idx="0"/>
    <cs:fillRef idx="0"/>
    <cs:effectRef idx="0"/>
    <cs:fontRef idx="minor">
      <a:schemeClr val="tx2"/>
    </cs:fontRef>
    <cs:spPr>
      <a:ln w="9525" cap="flat" cmpd="sng" algn="ctr">
        <a:solidFill>
          <a:schemeClr val="tx2">
            <a:lumMod val="15000"/>
            <a:lumOff val="85000"/>
          </a:schemeClr>
        </a:solidFill>
        <a:round/>
      </a:ln>
    </cs:spPr>
    <cs:defRPr sz="900" kern="1200"/>
  </cs:categoryAxis>
  <cs:chartArea mods="allowNoFillOverride allowNoLineOverride">
    <cs:lnRef idx="0"/>
    <cs:fillRef idx="0"/>
    <cs:effectRef idx="0"/>
    <cs:fontRef idx="minor">
      <a:schemeClr val="tx2"/>
    </cs:fontRef>
    <cs:spPr>
      <a:solidFill>
        <a:schemeClr val="bg1"/>
      </a:solidFill>
      <a:ln w="9525" cap="flat" cmpd="sng" algn="ctr">
        <a:solidFill>
          <a:schemeClr val="tx2">
            <a:lumMod val="15000"/>
            <a:lumOff val="85000"/>
          </a:schemeClr>
        </a:solidFill>
        <a:round/>
      </a:ln>
    </cs:spPr>
    <cs:defRPr sz="900" kern="1200"/>
  </cs:chartArea>
  <cs:dataLabel>
    <cs:lnRef idx="0"/>
    <cs:fillRef idx="0"/>
    <cs:effectRef idx="0"/>
    <cs:fontRef idx="minor">
      <a:schemeClr val="tx2"/>
    </cs:fontRef>
    <cs:defRPr sz="900" kern="1200"/>
  </cs:dataLabel>
  <cs:dataLabelCallout>
    <cs:lnRef idx="0"/>
    <cs:fillRef idx="0"/>
    <cs:effectRef idx="0"/>
    <cs:fontRef idx="minor">
      <a:schemeClr val="dk2">
        <a:lumMod val="7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3">
      <cs:styleClr val="auto"/>
    </cs:fillRef>
    <cs:effectRef idx="2"/>
    <cs:fontRef idx="minor">
      <a:schemeClr val="tx2"/>
    </cs:fontRef>
  </cs:dataPoint>
  <cs:dataPoint3D>
    <cs:lnRef idx="0"/>
    <cs:fillRef idx="3">
      <cs:styleClr val="auto"/>
    </cs:fillRef>
    <cs:effectRef idx="2"/>
    <cs:fontRef idx="minor">
      <a:schemeClr val="tx2"/>
    </cs:fontRef>
  </cs:dataPoint3D>
  <cs:dataPointLine>
    <cs:lnRef idx="0">
      <cs:styleClr val="auto"/>
    </cs:lnRef>
    <cs:fillRef idx="3"/>
    <cs:effectRef idx="2"/>
    <cs:fontRef idx="minor">
      <a:schemeClr val="tx2"/>
    </cs:fontRef>
    <cs:spPr>
      <a:ln w="9525" cap="rnd">
        <a:solidFill>
          <a:schemeClr val="phClr"/>
        </a:solidFill>
        <a:round/>
      </a:ln>
    </cs:spPr>
  </cs:dataPointLine>
  <cs:dataPointMarker>
    <cs:lnRef idx="0">
      <cs:styleClr val="auto"/>
    </cs:lnRef>
    <cs:fillRef idx="3">
      <cs:styleClr val="auto"/>
    </cs:fillRef>
    <cs:effectRef idx="2"/>
    <cs:fontRef idx="minor">
      <a:schemeClr val="tx2"/>
    </cs:fontRef>
    <cs:spPr>
      <a:ln w="9525">
        <a:solidFill>
          <a:schemeClr val="phClr"/>
        </a:solidFill>
        <a:round/>
      </a:ln>
    </cs:spPr>
  </cs:dataPointMarker>
  <cs:dataPointMarkerLayout symbol="circle" size="5"/>
  <cs:dataPointWireframe>
    <cs:lnRef idx="0">
      <cs:styleClr val="auto"/>
    </cs:lnRef>
    <cs:fillRef idx="3"/>
    <cs:effectRef idx="2"/>
    <cs:fontRef idx="minor">
      <a:schemeClr val="tx2"/>
    </cs:fontRef>
    <cs:spPr>
      <a:ln w="9525" cap="rnd">
        <a:solidFill>
          <a:schemeClr val="phClr"/>
        </a:solidFill>
        <a:round/>
      </a:ln>
    </cs:spPr>
  </cs:dataPointWireframe>
  <cs:dataTable>
    <cs:lnRef idx="0"/>
    <cs:fillRef idx="0"/>
    <cs:effectRef idx="0"/>
    <cs:fontRef idx="minor">
      <a:schemeClr val="tx2"/>
    </cs:fontRef>
    <cs:spPr>
      <a:ln w="9525">
        <a:solidFill>
          <a:schemeClr val="tx2">
            <a:lumMod val="15000"/>
            <a:lumOff val="85000"/>
          </a:schemeClr>
        </a:solidFill>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2"/>
    </cs:fontRef>
    <cs:spPr>
      <a:ln w="9525">
        <a:solidFill>
          <a:schemeClr val="tx2">
            <a:lumMod val="60000"/>
            <a:lumOff val="40000"/>
          </a:schemeClr>
        </a:solidFill>
        <a:prstDash val="dash"/>
      </a:ln>
    </cs:spPr>
  </cs:dropLine>
  <cs:errorBar>
    <cs:lnRef idx="0"/>
    <cs:fillRef idx="0"/>
    <cs:effectRef idx="0"/>
    <cs:fontRef idx="minor">
      <a:schemeClr val="tx2"/>
    </cs:fontRef>
    <cs:spPr>
      <a:ln w="9525">
        <a:solidFill>
          <a:schemeClr val="tx2">
            <a:lumMod val="75000"/>
          </a:schemeClr>
        </a:solidFill>
        <a:round/>
      </a:ln>
    </cs:spPr>
  </cs:errorBar>
  <cs:floor>
    <cs:lnRef idx="0"/>
    <cs:fillRef idx="0"/>
    <cs:effectRef idx="0"/>
    <cs:fontRef idx="minor">
      <a:schemeClr val="tx2"/>
    </cs:fontRef>
  </cs:floor>
  <cs:gridlineMajor>
    <cs:lnRef idx="0"/>
    <cs:fillRef idx="0"/>
    <cs:effectRef idx="0"/>
    <cs:fontRef idx="minor">
      <a:schemeClr val="tx2"/>
    </cs:fontRef>
    <cs:spPr>
      <a:ln w="9525" cap="flat" cmpd="sng" algn="ctr">
        <a:solidFill>
          <a:schemeClr val="tx2">
            <a:lumMod val="15000"/>
            <a:lumOff val="85000"/>
          </a:schemeClr>
        </a:solidFill>
        <a:round/>
      </a:ln>
    </cs:spPr>
  </cs:gridlineMajor>
  <cs:gridlineMinor>
    <cs:lnRef idx="0"/>
    <cs:fillRef idx="0"/>
    <cs:effectRef idx="0"/>
    <cs:fontRef idx="minor">
      <a:schemeClr val="tx2"/>
    </cs:fontRef>
    <cs:spPr>
      <a:ln>
        <a:solidFill>
          <a:schemeClr val="tx2">
            <a:lumMod val="5000"/>
            <a:lumOff val="95000"/>
          </a:schemeClr>
        </a:solidFill>
      </a:ln>
    </cs:spPr>
  </cs:gridlineMinor>
  <cs:hiLoLine>
    <cs:lnRef idx="0"/>
    <cs:fillRef idx="0"/>
    <cs:effectRef idx="0"/>
    <cs:fontRef idx="minor">
      <a:schemeClr val="tx2"/>
    </cs:fontRef>
    <cs:spPr>
      <a:ln w="9525">
        <a:solidFill>
          <a:schemeClr val="tx2">
            <a:lumMod val="60000"/>
            <a:lumOff val="40000"/>
          </a:schemeClr>
        </a:solidFill>
        <a:prstDash val="dash"/>
      </a:ln>
    </cs:spPr>
  </cs:hiLoLine>
  <cs:leaderLine>
    <cs:lnRef idx="0"/>
    <cs:fillRef idx="0"/>
    <cs:effectRef idx="0"/>
    <cs:fontRef idx="minor">
      <a:schemeClr val="tx2"/>
    </cs:fontRef>
    <cs:spPr>
      <a:ln w="9525">
        <a:solidFill>
          <a:schemeClr val="tx2">
            <a:lumMod val="35000"/>
            <a:lumOff val="65000"/>
          </a:schemeClr>
        </a:solidFill>
      </a:ln>
    </cs:spPr>
  </cs:leaderLine>
  <cs:legend>
    <cs:lnRef idx="0"/>
    <cs:fillRef idx="0"/>
    <cs:effectRef idx="0"/>
    <cs:fontRef idx="minor">
      <a:schemeClr val="tx2"/>
    </cs:fontRef>
    <cs:defRPr sz="900" kern="1200"/>
  </cs:legend>
  <cs:plotArea>
    <cs:lnRef idx="0"/>
    <cs:fillRef idx="0"/>
    <cs:effectRef idx="0"/>
    <cs:fontRef idx="minor">
      <a:schemeClr val="tx2"/>
    </cs:fontRef>
  </cs:plotArea>
  <cs:plotArea3D>
    <cs:lnRef idx="0"/>
    <cs:fillRef idx="0"/>
    <cs:effectRef idx="0"/>
    <cs:fontRef idx="minor">
      <a:schemeClr val="tx2"/>
    </cs:fontRef>
  </cs:plotArea3D>
  <cs:seriesAxis>
    <cs:lnRef idx="0"/>
    <cs:fillRef idx="0"/>
    <cs:effectRef idx="0"/>
    <cs:fontRef idx="minor">
      <a:schemeClr val="tx2"/>
    </cs:fontRef>
    <cs:spPr>
      <a:ln w="9525" cap="flat" cmpd="sng" algn="ctr">
        <a:solidFill>
          <a:schemeClr val="tx2">
            <a:lumMod val="15000"/>
            <a:lumOff val="85000"/>
          </a:schemeClr>
        </a:solidFill>
        <a:round/>
      </a:ln>
    </cs:spPr>
    <cs:defRPr sz="900" kern="1200"/>
  </cs:seriesAxis>
  <cs:seriesLine>
    <cs:lnRef idx="0"/>
    <cs:fillRef idx="0"/>
    <cs:effectRef idx="0"/>
    <cs:fontRef idx="minor">
      <a:schemeClr val="tx2"/>
    </cs:fontRef>
    <cs:spPr>
      <a:ln w="9525">
        <a:solidFill>
          <a:schemeClr val="tx2">
            <a:lumMod val="60000"/>
            <a:lumOff val="40000"/>
          </a:schemeClr>
        </a:solidFill>
        <a:prstDash val="dash"/>
      </a:ln>
    </cs:spPr>
  </cs:seriesLine>
  <cs:title>
    <cs:lnRef idx="0"/>
    <cs:fillRef idx="0"/>
    <cs:effectRef idx="0"/>
    <cs:fontRef idx="minor">
      <a:schemeClr val="tx2"/>
    </cs:fontRef>
    <cs:defRPr sz="1600" b="1" kern="1200"/>
  </cs:title>
  <cs:trendline>
    <cs:lnRef idx="0">
      <cs:styleClr val="auto"/>
    </cs:lnRef>
    <cs:fillRef idx="0"/>
    <cs:effectRef idx="0"/>
    <cs:fontRef idx="minor">
      <a:schemeClr val="tx2"/>
    </cs:fontRef>
    <cs:spPr>
      <a:ln w="9525" cap="rnd">
        <a:solidFill>
          <a:schemeClr val="phClr"/>
        </a:solidFill>
      </a:ln>
    </cs:spPr>
  </cs:trendline>
  <cs:trendlineLabel>
    <cs:lnRef idx="0"/>
    <cs:fillRef idx="0"/>
    <cs:effectRef idx="0"/>
    <cs:fontRef idx="minor">
      <a:schemeClr val="tx2"/>
    </cs:fontRef>
    <cs:defRPr sz="900" kern="1200"/>
  </cs:trendlineLabel>
  <cs:upBar>
    <cs:lnRef idx="0"/>
    <cs:fillRef idx="0"/>
    <cs:effectRef idx="0"/>
    <cs:fontRef idx="minor">
      <a:schemeClr val="tx2"/>
    </cs:fontRef>
    <cs:spPr>
      <a:solidFill>
        <a:schemeClr val="lt1"/>
      </a:solidFill>
      <a:ln w="9525">
        <a:solidFill>
          <a:schemeClr val="tx1">
            <a:lumMod val="15000"/>
            <a:lumOff val="85000"/>
          </a:schemeClr>
        </a:solidFill>
      </a:ln>
    </cs:spPr>
  </cs:upBar>
  <cs:valueAxis>
    <cs:lnRef idx="0"/>
    <cs:fillRef idx="0"/>
    <cs:effectRef idx="0"/>
    <cs:fontRef idx="minor">
      <a:schemeClr val="tx2"/>
    </cs:fontRef>
    <cs:spPr>
      <a:ln>
        <a:solidFill>
          <a:schemeClr val="tx2">
            <a:lumMod val="40000"/>
            <a:lumOff val="60000"/>
          </a:schemeClr>
        </a:solidFill>
      </a:ln>
    </cs:spPr>
    <cs:defRPr sz="900" kern="1200"/>
  </cs:valueAxis>
  <cs:wall>
    <cs:lnRef idx="0"/>
    <cs:fillRef idx="0"/>
    <cs:effectRef idx="0"/>
    <cs:fontRef idx="minor">
      <a:schemeClr val="tx2"/>
    </cs:fontRef>
  </cs:wall>
</cs:chartStyle>
</file>

<file path=word/charts/style2.xml><?xml version="1.0" encoding="utf-8"?>
<cs:chartStyle xmlns:cs="http://schemas.microsoft.com/office/drawing/2012/chartStyle" xmlns:a="http://schemas.openxmlformats.org/drawingml/2006/main" id="242">
  <cs:axisTitle>
    <cs:lnRef idx="0"/>
    <cs:fillRef idx="0"/>
    <cs:effectRef idx="0"/>
    <cs:fontRef idx="minor">
      <a:schemeClr val="tx2"/>
    </cs:fontRef>
    <cs:defRPr sz="900" b="1" kern="1200"/>
  </cs:axisTitle>
  <cs:categoryAxis>
    <cs:lnRef idx="0"/>
    <cs:fillRef idx="0"/>
    <cs:effectRef idx="0"/>
    <cs:fontRef idx="minor">
      <a:schemeClr val="tx2"/>
    </cs:fontRef>
    <cs:spPr>
      <a:ln w="9525" cap="flat" cmpd="sng" algn="ctr">
        <a:solidFill>
          <a:schemeClr val="tx2">
            <a:lumMod val="15000"/>
            <a:lumOff val="85000"/>
          </a:schemeClr>
        </a:solidFill>
        <a:round/>
      </a:ln>
    </cs:spPr>
    <cs:defRPr sz="900" kern="1200"/>
  </cs:categoryAxis>
  <cs:chartArea mods="allowNoFillOverride allowNoLineOverride">
    <cs:lnRef idx="0"/>
    <cs:fillRef idx="0"/>
    <cs:effectRef idx="0"/>
    <cs:fontRef idx="minor">
      <a:schemeClr val="tx2"/>
    </cs:fontRef>
    <cs:spPr>
      <a:solidFill>
        <a:schemeClr val="bg1"/>
      </a:solidFill>
      <a:ln w="9525" cap="flat" cmpd="sng" algn="ctr">
        <a:solidFill>
          <a:schemeClr val="tx2">
            <a:lumMod val="15000"/>
            <a:lumOff val="85000"/>
          </a:schemeClr>
        </a:solidFill>
        <a:round/>
      </a:ln>
    </cs:spPr>
    <cs:defRPr sz="900" kern="1200"/>
  </cs:chartArea>
  <cs:dataLabel>
    <cs:lnRef idx="0"/>
    <cs:fillRef idx="0"/>
    <cs:effectRef idx="0"/>
    <cs:fontRef idx="minor">
      <a:schemeClr val="tx2"/>
    </cs:fontRef>
    <cs:defRPr sz="900" kern="1200"/>
  </cs:dataLabel>
  <cs:dataLabelCallout>
    <cs:lnRef idx="0"/>
    <cs:fillRef idx="0"/>
    <cs:effectRef idx="0"/>
    <cs:fontRef idx="minor">
      <a:schemeClr val="dk2">
        <a:lumMod val="7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3">
      <cs:styleClr val="auto"/>
    </cs:fillRef>
    <cs:effectRef idx="2"/>
    <cs:fontRef idx="minor">
      <a:schemeClr val="tx2"/>
    </cs:fontRef>
  </cs:dataPoint>
  <cs:dataPoint3D>
    <cs:lnRef idx="0"/>
    <cs:fillRef idx="3">
      <cs:styleClr val="auto"/>
    </cs:fillRef>
    <cs:effectRef idx="2"/>
    <cs:fontRef idx="minor">
      <a:schemeClr val="tx2"/>
    </cs:fontRef>
  </cs:dataPoint3D>
  <cs:dataPointLine>
    <cs:lnRef idx="0">
      <cs:styleClr val="auto"/>
    </cs:lnRef>
    <cs:fillRef idx="3"/>
    <cs:effectRef idx="2"/>
    <cs:fontRef idx="minor">
      <a:schemeClr val="tx2"/>
    </cs:fontRef>
    <cs:spPr>
      <a:ln w="9525" cap="rnd">
        <a:solidFill>
          <a:schemeClr val="phClr"/>
        </a:solidFill>
        <a:round/>
      </a:ln>
    </cs:spPr>
  </cs:dataPointLine>
  <cs:dataPointMarker>
    <cs:lnRef idx="0">
      <cs:styleClr val="auto"/>
    </cs:lnRef>
    <cs:fillRef idx="3">
      <cs:styleClr val="auto"/>
    </cs:fillRef>
    <cs:effectRef idx="2"/>
    <cs:fontRef idx="minor">
      <a:schemeClr val="tx2"/>
    </cs:fontRef>
    <cs:spPr>
      <a:ln w="9525">
        <a:solidFill>
          <a:schemeClr val="phClr"/>
        </a:solidFill>
        <a:round/>
      </a:ln>
    </cs:spPr>
  </cs:dataPointMarker>
  <cs:dataPointMarkerLayout symbol="circle" size="5"/>
  <cs:dataPointWireframe>
    <cs:lnRef idx="0">
      <cs:styleClr val="auto"/>
    </cs:lnRef>
    <cs:fillRef idx="3"/>
    <cs:effectRef idx="2"/>
    <cs:fontRef idx="minor">
      <a:schemeClr val="tx2"/>
    </cs:fontRef>
    <cs:spPr>
      <a:ln w="9525" cap="rnd">
        <a:solidFill>
          <a:schemeClr val="phClr"/>
        </a:solidFill>
        <a:round/>
      </a:ln>
    </cs:spPr>
  </cs:dataPointWireframe>
  <cs:dataTable>
    <cs:lnRef idx="0"/>
    <cs:fillRef idx="0"/>
    <cs:effectRef idx="0"/>
    <cs:fontRef idx="minor">
      <a:schemeClr val="tx2"/>
    </cs:fontRef>
    <cs:spPr>
      <a:ln w="9525">
        <a:solidFill>
          <a:schemeClr val="tx2">
            <a:lumMod val="15000"/>
            <a:lumOff val="85000"/>
          </a:schemeClr>
        </a:solidFill>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2"/>
    </cs:fontRef>
    <cs:spPr>
      <a:ln w="9525">
        <a:solidFill>
          <a:schemeClr val="tx2">
            <a:lumMod val="60000"/>
            <a:lumOff val="40000"/>
          </a:schemeClr>
        </a:solidFill>
        <a:prstDash val="dash"/>
      </a:ln>
    </cs:spPr>
  </cs:dropLine>
  <cs:errorBar>
    <cs:lnRef idx="0"/>
    <cs:fillRef idx="0"/>
    <cs:effectRef idx="0"/>
    <cs:fontRef idx="minor">
      <a:schemeClr val="tx2"/>
    </cs:fontRef>
    <cs:spPr>
      <a:ln w="9525">
        <a:solidFill>
          <a:schemeClr val="tx2">
            <a:lumMod val="75000"/>
          </a:schemeClr>
        </a:solidFill>
        <a:round/>
      </a:ln>
    </cs:spPr>
  </cs:errorBar>
  <cs:floor>
    <cs:lnRef idx="0"/>
    <cs:fillRef idx="0"/>
    <cs:effectRef idx="0"/>
    <cs:fontRef idx="minor">
      <a:schemeClr val="tx2"/>
    </cs:fontRef>
  </cs:floor>
  <cs:gridlineMajor>
    <cs:lnRef idx="0"/>
    <cs:fillRef idx="0"/>
    <cs:effectRef idx="0"/>
    <cs:fontRef idx="minor">
      <a:schemeClr val="tx2"/>
    </cs:fontRef>
    <cs:spPr>
      <a:ln w="9525" cap="flat" cmpd="sng" algn="ctr">
        <a:solidFill>
          <a:schemeClr val="tx2">
            <a:lumMod val="15000"/>
            <a:lumOff val="85000"/>
          </a:schemeClr>
        </a:solidFill>
        <a:round/>
      </a:ln>
    </cs:spPr>
  </cs:gridlineMajor>
  <cs:gridlineMinor>
    <cs:lnRef idx="0"/>
    <cs:fillRef idx="0"/>
    <cs:effectRef idx="0"/>
    <cs:fontRef idx="minor">
      <a:schemeClr val="tx2"/>
    </cs:fontRef>
    <cs:spPr>
      <a:ln>
        <a:solidFill>
          <a:schemeClr val="tx2">
            <a:lumMod val="5000"/>
            <a:lumOff val="95000"/>
          </a:schemeClr>
        </a:solidFill>
      </a:ln>
    </cs:spPr>
  </cs:gridlineMinor>
  <cs:hiLoLine>
    <cs:lnRef idx="0"/>
    <cs:fillRef idx="0"/>
    <cs:effectRef idx="0"/>
    <cs:fontRef idx="minor">
      <a:schemeClr val="tx2"/>
    </cs:fontRef>
    <cs:spPr>
      <a:ln w="9525">
        <a:solidFill>
          <a:schemeClr val="tx2">
            <a:lumMod val="60000"/>
            <a:lumOff val="40000"/>
          </a:schemeClr>
        </a:solidFill>
        <a:prstDash val="dash"/>
      </a:ln>
    </cs:spPr>
  </cs:hiLoLine>
  <cs:leaderLine>
    <cs:lnRef idx="0"/>
    <cs:fillRef idx="0"/>
    <cs:effectRef idx="0"/>
    <cs:fontRef idx="minor">
      <a:schemeClr val="tx2"/>
    </cs:fontRef>
    <cs:spPr>
      <a:ln w="9525">
        <a:solidFill>
          <a:schemeClr val="tx2">
            <a:lumMod val="35000"/>
            <a:lumOff val="65000"/>
          </a:schemeClr>
        </a:solidFill>
      </a:ln>
    </cs:spPr>
  </cs:leaderLine>
  <cs:legend>
    <cs:lnRef idx="0"/>
    <cs:fillRef idx="0"/>
    <cs:effectRef idx="0"/>
    <cs:fontRef idx="minor">
      <a:schemeClr val="tx2"/>
    </cs:fontRef>
    <cs:defRPr sz="900" kern="1200"/>
  </cs:legend>
  <cs:plotArea>
    <cs:lnRef idx="0"/>
    <cs:fillRef idx="0"/>
    <cs:effectRef idx="0"/>
    <cs:fontRef idx="minor">
      <a:schemeClr val="tx2"/>
    </cs:fontRef>
  </cs:plotArea>
  <cs:plotArea3D>
    <cs:lnRef idx="0"/>
    <cs:fillRef idx="0"/>
    <cs:effectRef idx="0"/>
    <cs:fontRef idx="minor">
      <a:schemeClr val="tx2"/>
    </cs:fontRef>
  </cs:plotArea3D>
  <cs:seriesAxis>
    <cs:lnRef idx="0"/>
    <cs:fillRef idx="0"/>
    <cs:effectRef idx="0"/>
    <cs:fontRef idx="minor">
      <a:schemeClr val="tx2"/>
    </cs:fontRef>
    <cs:spPr>
      <a:ln w="9525" cap="flat" cmpd="sng" algn="ctr">
        <a:solidFill>
          <a:schemeClr val="tx2">
            <a:lumMod val="15000"/>
            <a:lumOff val="85000"/>
          </a:schemeClr>
        </a:solidFill>
        <a:round/>
      </a:ln>
    </cs:spPr>
    <cs:defRPr sz="900" kern="1200"/>
  </cs:seriesAxis>
  <cs:seriesLine>
    <cs:lnRef idx="0"/>
    <cs:fillRef idx="0"/>
    <cs:effectRef idx="0"/>
    <cs:fontRef idx="minor">
      <a:schemeClr val="tx2"/>
    </cs:fontRef>
    <cs:spPr>
      <a:ln w="9525">
        <a:solidFill>
          <a:schemeClr val="tx2">
            <a:lumMod val="60000"/>
            <a:lumOff val="40000"/>
          </a:schemeClr>
        </a:solidFill>
        <a:prstDash val="dash"/>
      </a:ln>
    </cs:spPr>
  </cs:seriesLine>
  <cs:title>
    <cs:lnRef idx="0"/>
    <cs:fillRef idx="0"/>
    <cs:effectRef idx="0"/>
    <cs:fontRef idx="minor">
      <a:schemeClr val="tx2"/>
    </cs:fontRef>
    <cs:defRPr sz="1600" b="1" kern="1200"/>
  </cs:title>
  <cs:trendline>
    <cs:lnRef idx="0">
      <cs:styleClr val="auto"/>
    </cs:lnRef>
    <cs:fillRef idx="0"/>
    <cs:effectRef idx="0"/>
    <cs:fontRef idx="minor">
      <a:schemeClr val="tx2"/>
    </cs:fontRef>
    <cs:spPr>
      <a:ln w="9525" cap="rnd">
        <a:solidFill>
          <a:schemeClr val="phClr"/>
        </a:solidFill>
      </a:ln>
    </cs:spPr>
  </cs:trendline>
  <cs:trendlineLabel>
    <cs:lnRef idx="0"/>
    <cs:fillRef idx="0"/>
    <cs:effectRef idx="0"/>
    <cs:fontRef idx="minor">
      <a:schemeClr val="tx2"/>
    </cs:fontRef>
    <cs:defRPr sz="900" kern="1200"/>
  </cs:trendlineLabel>
  <cs:upBar>
    <cs:lnRef idx="0"/>
    <cs:fillRef idx="0"/>
    <cs:effectRef idx="0"/>
    <cs:fontRef idx="minor">
      <a:schemeClr val="tx2"/>
    </cs:fontRef>
    <cs:spPr>
      <a:solidFill>
        <a:schemeClr val="lt1"/>
      </a:solidFill>
      <a:ln w="9525">
        <a:solidFill>
          <a:schemeClr val="tx1">
            <a:lumMod val="15000"/>
            <a:lumOff val="85000"/>
          </a:schemeClr>
        </a:solidFill>
      </a:ln>
    </cs:spPr>
  </cs:upBar>
  <cs:valueAxis>
    <cs:lnRef idx="0"/>
    <cs:fillRef idx="0"/>
    <cs:effectRef idx="0"/>
    <cs:fontRef idx="minor">
      <a:schemeClr val="tx2"/>
    </cs:fontRef>
    <cs:spPr>
      <a:ln>
        <a:solidFill>
          <a:schemeClr val="tx2">
            <a:lumMod val="40000"/>
            <a:lumOff val="60000"/>
          </a:schemeClr>
        </a:solidFill>
      </a:ln>
    </cs:spPr>
    <cs:defRPr sz="900" kern="1200"/>
  </cs:valueAxis>
  <cs:wall>
    <cs:lnRef idx="0"/>
    <cs:fillRef idx="0"/>
    <cs:effectRef idx="0"/>
    <cs:fontRef idx="minor">
      <a:schemeClr val="tx2"/>
    </cs:fontRef>
  </cs:wall>
</cs:chartStyle>
</file>

<file path=word/charts/style3.xml><?xml version="1.0" encoding="utf-8"?>
<cs:chartStyle xmlns:cs="http://schemas.microsoft.com/office/drawing/2012/chartStyle" xmlns:a="http://schemas.openxmlformats.org/drawingml/2006/main" id="242">
  <cs:axisTitle>
    <cs:lnRef idx="0"/>
    <cs:fillRef idx="0"/>
    <cs:effectRef idx="0"/>
    <cs:fontRef idx="minor">
      <a:schemeClr val="tx2"/>
    </cs:fontRef>
    <cs:defRPr sz="900" b="1" kern="1200"/>
  </cs:axisTitle>
  <cs:categoryAxis>
    <cs:lnRef idx="0"/>
    <cs:fillRef idx="0"/>
    <cs:effectRef idx="0"/>
    <cs:fontRef idx="minor">
      <a:schemeClr val="tx2"/>
    </cs:fontRef>
    <cs:spPr>
      <a:ln w="9525" cap="flat" cmpd="sng" algn="ctr">
        <a:solidFill>
          <a:schemeClr val="tx2">
            <a:lumMod val="15000"/>
            <a:lumOff val="85000"/>
          </a:schemeClr>
        </a:solidFill>
        <a:round/>
      </a:ln>
    </cs:spPr>
    <cs:defRPr sz="900" kern="1200"/>
  </cs:categoryAxis>
  <cs:chartArea mods="allowNoFillOverride allowNoLineOverride">
    <cs:lnRef idx="0"/>
    <cs:fillRef idx="0"/>
    <cs:effectRef idx="0"/>
    <cs:fontRef idx="minor">
      <a:schemeClr val="tx2"/>
    </cs:fontRef>
    <cs:spPr>
      <a:solidFill>
        <a:schemeClr val="bg1"/>
      </a:solidFill>
      <a:ln w="9525" cap="flat" cmpd="sng" algn="ctr">
        <a:solidFill>
          <a:schemeClr val="tx2">
            <a:lumMod val="15000"/>
            <a:lumOff val="85000"/>
          </a:schemeClr>
        </a:solidFill>
        <a:round/>
      </a:ln>
    </cs:spPr>
    <cs:defRPr sz="900" kern="1200"/>
  </cs:chartArea>
  <cs:dataLabel>
    <cs:lnRef idx="0"/>
    <cs:fillRef idx="0"/>
    <cs:effectRef idx="0"/>
    <cs:fontRef idx="minor">
      <a:schemeClr val="tx2"/>
    </cs:fontRef>
    <cs:defRPr sz="900" kern="1200"/>
  </cs:dataLabel>
  <cs:dataLabelCallout>
    <cs:lnRef idx="0"/>
    <cs:fillRef idx="0"/>
    <cs:effectRef idx="0"/>
    <cs:fontRef idx="minor">
      <a:schemeClr val="dk2">
        <a:lumMod val="7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3">
      <cs:styleClr val="auto"/>
    </cs:fillRef>
    <cs:effectRef idx="2"/>
    <cs:fontRef idx="minor">
      <a:schemeClr val="tx2"/>
    </cs:fontRef>
  </cs:dataPoint>
  <cs:dataPoint3D>
    <cs:lnRef idx="0"/>
    <cs:fillRef idx="3">
      <cs:styleClr val="auto"/>
    </cs:fillRef>
    <cs:effectRef idx="2"/>
    <cs:fontRef idx="minor">
      <a:schemeClr val="tx2"/>
    </cs:fontRef>
  </cs:dataPoint3D>
  <cs:dataPointLine>
    <cs:lnRef idx="0">
      <cs:styleClr val="auto"/>
    </cs:lnRef>
    <cs:fillRef idx="3"/>
    <cs:effectRef idx="2"/>
    <cs:fontRef idx="minor">
      <a:schemeClr val="tx2"/>
    </cs:fontRef>
    <cs:spPr>
      <a:ln w="9525" cap="rnd">
        <a:solidFill>
          <a:schemeClr val="phClr"/>
        </a:solidFill>
        <a:round/>
      </a:ln>
    </cs:spPr>
  </cs:dataPointLine>
  <cs:dataPointMarker>
    <cs:lnRef idx="0">
      <cs:styleClr val="auto"/>
    </cs:lnRef>
    <cs:fillRef idx="3">
      <cs:styleClr val="auto"/>
    </cs:fillRef>
    <cs:effectRef idx="2"/>
    <cs:fontRef idx="minor">
      <a:schemeClr val="tx2"/>
    </cs:fontRef>
    <cs:spPr>
      <a:ln w="9525">
        <a:solidFill>
          <a:schemeClr val="phClr"/>
        </a:solidFill>
        <a:round/>
      </a:ln>
    </cs:spPr>
  </cs:dataPointMarker>
  <cs:dataPointMarkerLayout symbol="circle" size="5"/>
  <cs:dataPointWireframe>
    <cs:lnRef idx="0">
      <cs:styleClr val="auto"/>
    </cs:lnRef>
    <cs:fillRef idx="3"/>
    <cs:effectRef idx="2"/>
    <cs:fontRef idx="minor">
      <a:schemeClr val="tx2"/>
    </cs:fontRef>
    <cs:spPr>
      <a:ln w="9525" cap="rnd">
        <a:solidFill>
          <a:schemeClr val="phClr"/>
        </a:solidFill>
        <a:round/>
      </a:ln>
    </cs:spPr>
  </cs:dataPointWireframe>
  <cs:dataTable>
    <cs:lnRef idx="0"/>
    <cs:fillRef idx="0"/>
    <cs:effectRef idx="0"/>
    <cs:fontRef idx="minor">
      <a:schemeClr val="tx2"/>
    </cs:fontRef>
    <cs:spPr>
      <a:ln w="9525">
        <a:solidFill>
          <a:schemeClr val="tx2">
            <a:lumMod val="15000"/>
            <a:lumOff val="85000"/>
          </a:schemeClr>
        </a:solidFill>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2"/>
    </cs:fontRef>
    <cs:spPr>
      <a:ln w="9525">
        <a:solidFill>
          <a:schemeClr val="tx2">
            <a:lumMod val="60000"/>
            <a:lumOff val="40000"/>
          </a:schemeClr>
        </a:solidFill>
        <a:prstDash val="dash"/>
      </a:ln>
    </cs:spPr>
  </cs:dropLine>
  <cs:errorBar>
    <cs:lnRef idx="0"/>
    <cs:fillRef idx="0"/>
    <cs:effectRef idx="0"/>
    <cs:fontRef idx="minor">
      <a:schemeClr val="tx2"/>
    </cs:fontRef>
    <cs:spPr>
      <a:ln w="9525">
        <a:solidFill>
          <a:schemeClr val="tx2">
            <a:lumMod val="75000"/>
          </a:schemeClr>
        </a:solidFill>
        <a:round/>
      </a:ln>
    </cs:spPr>
  </cs:errorBar>
  <cs:floor>
    <cs:lnRef idx="0"/>
    <cs:fillRef idx="0"/>
    <cs:effectRef idx="0"/>
    <cs:fontRef idx="minor">
      <a:schemeClr val="tx2"/>
    </cs:fontRef>
  </cs:floor>
  <cs:gridlineMajor>
    <cs:lnRef idx="0"/>
    <cs:fillRef idx="0"/>
    <cs:effectRef idx="0"/>
    <cs:fontRef idx="minor">
      <a:schemeClr val="tx2"/>
    </cs:fontRef>
    <cs:spPr>
      <a:ln w="9525" cap="flat" cmpd="sng" algn="ctr">
        <a:solidFill>
          <a:schemeClr val="tx2">
            <a:lumMod val="15000"/>
            <a:lumOff val="85000"/>
          </a:schemeClr>
        </a:solidFill>
        <a:round/>
      </a:ln>
    </cs:spPr>
  </cs:gridlineMajor>
  <cs:gridlineMinor>
    <cs:lnRef idx="0"/>
    <cs:fillRef idx="0"/>
    <cs:effectRef idx="0"/>
    <cs:fontRef idx="minor">
      <a:schemeClr val="tx2"/>
    </cs:fontRef>
    <cs:spPr>
      <a:ln>
        <a:solidFill>
          <a:schemeClr val="tx2">
            <a:lumMod val="5000"/>
            <a:lumOff val="95000"/>
          </a:schemeClr>
        </a:solidFill>
      </a:ln>
    </cs:spPr>
  </cs:gridlineMinor>
  <cs:hiLoLine>
    <cs:lnRef idx="0"/>
    <cs:fillRef idx="0"/>
    <cs:effectRef idx="0"/>
    <cs:fontRef idx="minor">
      <a:schemeClr val="tx2"/>
    </cs:fontRef>
    <cs:spPr>
      <a:ln w="9525">
        <a:solidFill>
          <a:schemeClr val="tx2">
            <a:lumMod val="60000"/>
            <a:lumOff val="40000"/>
          </a:schemeClr>
        </a:solidFill>
        <a:prstDash val="dash"/>
      </a:ln>
    </cs:spPr>
  </cs:hiLoLine>
  <cs:leaderLine>
    <cs:lnRef idx="0"/>
    <cs:fillRef idx="0"/>
    <cs:effectRef idx="0"/>
    <cs:fontRef idx="minor">
      <a:schemeClr val="tx2"/>
    </cs:fontRef>
    <cs:spPr>
      <a:ln w="9525">
        <a:solidFill>
          <a:schemeClr val="tx2">
            <a:lumMod val="35000"/>
            <a:lumOff val="65000"/>
          </a:schemeClr>
        </a:solidFill>
      </a:ln>
    </cs:spPr>
  </cs:leaderLine>
  <cs:legend>
    <cs:lnRef idx="0"/>
    <cs:fillRef idx="0"/>
    <cs:effectRef idx="0"/>
    <cs:fontRef idx="minor">
      <a:schemeClr val="tx2"/>
    </cs:fontRef>
    <cs:defRPr sz="900" kern="1200"/>
  </cs:legend>
  <cs:plotArea>
    <cs:lnRef idx="0"/>
    <cs:fillRef idx="0"/>
    <cs:effectRef idx="0"/>
    <cs:fontRef idx="minor">
      <a:schemeClr val="tx2"/>
    </cs:fontRef>
  </cs:plotArea>
  <cs:plotArea3D>
    <cs:lnRef idx="0"/>
    <cs:fillRef idx="0"/>
    <cs:effectRef idx="0"/>
    <cs:fontRef idx="minor">
      <a:schemeClr val="tx2"/>
    </cs:fontRef>
  </cs:plotArea3D>
  <cs:seriesAxis>
    <cs:lnRef idx="0"/>
    <cs:fillRef idx="0"/>
    <cs:effectRef idx="0"/>
    <cs:fontRef idx="minor">
      <a:schemeClr val="tx2"/>
    </cs:fontRef>
    <cs:spPr>
      <a:ln w="9525" cap="flat" cmpd="sng" algn="ctr">
        <a:solidFill>
          <a:schemeClr val="tx2">
            <a:lumMod val="15000"/>
            <a:lumOff val="85000"/>
          </a:schemeClr>
        </a:solidFill>
        <a:round/>
      </a:ln>
    </cs:spPr>
    <cs:defRPr sz="900" kern="1200"/>
  </cs:seriesAxis>
  <cs:seriesLine>
    <cs:lnRef idx="0"/>
    <cs:fillRef idx="0"/>
    <cs:effectRef idx="0"/>
    <cs:fontRef idx="minor">
      <a:schemeClr val="tx2"/>
    </cs:fontRef>
    <cs:spPr>
      <a:ln w="9525">
        <a:solidFill>
          <a:schemeClr val="tx2">
            <a:lumMod val="60000"/>
            <a:lumOff val="40000"/>
          </a:schemeClr>
        </a:solidFill>
        <a:prstDash val="dash"/>
      </a:ln>
    </cs:spPr>
  </cs:seriesLine>
  <cs:title>
    <cs:lnRef idx="0"/>
    <cs:fillRef idx="0"/>
    <cs:effectRef idx="0"/>
    <cs:fontRef idx="minor">
      <a:schemeClr val="tx2"/>
    </cs:fontRef>
    <cs:defRPr sz="1600" b="1" kern="1200"/>
  </cs:title>
  <cs:trendline>
    <cs:lnRef idx="0">
      <cs:styleClr val="auto"/>
    </cs:lnRef>
    <cs:fillRef idx="0"/>
    <cs:effectRef idx="0"/>
    <cs:fontRef idx="minor">
      <a:schemeClr val="tx2"/>
    </cs:fontRef>
    <cs:spPr>
      <a:ln w="9525" cap="rnd">
        <a:solidFill>
          <a:schemeClr val="phClr"/>
        </a:solidFill>
      </a:ln>
    </cs:spPr>
  </cs:trendline>
  <cs:trendlineLabel>
    <cs:lnRef idx="0"/>
    <cs:fillRef idx="0"/>
    <cs:effectRef idx="0"/>
    <cs:fontRef idx="minor">
      <a:schemeClr val="tx2"/>
    </cs:fontRef>
    <cs:defRPr sz="900" kern="1200"/>
  </cs:trendlineLabel>
  <cs:upBar>
    <cs:lnRef idx="0"/>
    <cs:fillRef idx="0"/>
    <cs:effectRef idx="0"/>
    <cs:fontRef idx="minor">
      <a:schemeClr val="tx2"/>
    </cs:fontRef>
    <cs:spPr>
      <a:solidFill>
        <a:schemeClr val="lt1"/>
      </a:solidFill>
      <a:ln w="9525">
        <a:solidFill>
          <a:schemeClr val="tx1">
            <a:lumMod val="15000"/>
            <a:lumOff val="85000"/>
          </a:schemeClr>
        </a:solidFill>
      </a:ln>
    </cs:spPr>
  </cs:upBar>
  <cs:valueAxis>
    <cs:lnRef idx="0"/>
    <cs:fillRef idx="0"/>
    <cs:effectRef idx="0"/>
    <cs:fontRef idx="minor">
      <a:schemeClr val="tx2"/>
    </cs:fontRef>
    <cs:spPr>
      <a:ln>
        <a:solidFill>
          <a:schemeClr val="tx2">
            <a:lumMod val="40000"/>
            <a:lumOff val="60000"/>
          </a:schemeClr>
        </a:solidFill>
      </a:ln>
    </cs:spPr>
    <cs:defRPr sz="900" kern="1200"/>
  </cs:valueAxis>
  <cs:wall>
    <cs:lnRef idx="0"/>
    <cs:fillRef idx="0"/>
    <cs:effectRef idx="0"/>
    <cs:fontRef idx="minor">
      <a:schemeClr val="tx2"/>
    </cs:fontRef>
  </cs:wall>
</cs:chartStyle>
</file>

<file path=word/charts/style4.xml><?xml version="1.0" encoding="utf-8"?>
<cs:chartStyle xmlns:cs="http://schemas.microsoft.com/office/drawing/2012/chartStyle" xmlns:a="http://schemas.openxmlformats.org/drawingml/2006/main" id="242">
  <cs:axisTitle>
    <cs:lnRef idx="0"/>
    <cs:fillRef idx="0"/>
    <cs:effectRef idx="0"/>
    <cs:fontRef idx="minor">
      <a:schemeClr val="tx2"/>
    </cs:fontRef>
    <cs:defRPr sz="900" b="1" kern="1200"/>
  </cs:axisTitle>
  <cs:categoryAxis>
    <cs:lnRef idx="0"/>
    <cs:fillRef idx="0"/>
    <cs:effectRef idx="0"/>
    <cs:fontRef idx="minor">
      <a:schemeClr val="tx2"/>
    </cs:fontRef>
    <cs:spPr>
      <a:ln w="9525" cap="flat" cmpd="sng" algn="ctr">
        <a:solidFill>
          <a:schemeClr val="tx2">
            <a:lumMod val="15000"/>
            <a:lumOff val="85000"/>
          </a:schemeClr>
        </a:solidFill>
        <a:round/>
      </a:ln>
    </cs:spPr>
    <cs:defRPr sz="900" kern="1200"/>
  </cs:categoryAxis>
  <cs:chartArea mods="allowNoFillOverride allowNoLineOverride">
    <cs:lnRef idx="0"/>
    <cs:fillRef idx="0"/>
    <cs:effectRef idx="0"/>
    <cs:fontRef idx="minor">
      <a:schemeClr val="tx2"/>
    </cs:fontRef>
    <cs:spPr>
      <a:solidFill>
        <a:schemeClr val="bg1"/>
      </a:solidFill>
      <a:ln w="9525" cap="flat" cmpd="sng" algn="ctr">
        <a:solidFill>
          <a:schemeClr val="tx2">
            <a:lumMod val="15000"/>
            <a:lumOff val="85000"/>
          </a:schemeClr>
        </a:solidFill>
        <a:round/>
      </a:ln>
    </cs:spPr>
    <cs:defRPr sz="900" kern="1200"/>
  </cs:chartArea>
  <cs:dataLabel>
    <cs:lnRef idx="0"/>
    <cs:fillRef idx="0"/>
    <cs:effectRef idx="0"/>
    <cs:fontRef idx="minor">
      <a:schemeClr val="tx2"/>
    </cs:fontRef>
    <cs:defRPr sz="900" kern="1200"/>
  </cs:dataLabel>
  <cs:dataLabelCallout>
    <cs:lnRef idx="0"/>
    <cs:fillRef idx="0"/>
    <cs:effectRef idx="0"/>
    <cs:fontRef idx="minor">
      <a:schemeClr val="dk2">
        <a:lumMod val="7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3">
      <cs:styleClr val="auto"/>
    </cs:fillRef>
    <cs:effectRef idx="2"/>
    <cs:fontRef idx="minor">
      <a:schemeClr val="tx2"/>
    </cs:fontRef>
  </cs:dataPoint>
  <cs:dataPoint3D>
    <cs:lnRef idx="0"/>
    <cs:fillRef idx="3">
      <cs:styleClr val="auto"/>
    </cs:fillRef>
    <cs:effectRef idx="2"/>
    <cs:fontRef idx="minor">
      <a:schemeClr val="tx2"/>
    </cs:fontRef>
  </cs:dataPoint3D>
  <cs:dataPointLine>
    <cs:lnRef idx="0">
      <cs:styleClr val="auto"/>
    </cs:lnRef>
    <cs:fillRef idx="3"/>
    <cs:effectRef idx="2"/>
    <cs:fontRef idx="minor">
      <a:schemeClr val="tx2"/>
    </cs:fontRef>
    <cs:spPr>
      <a:ln w="9525" cap="rnd">
        <a:solidFill>
          <a:schemeClr val="phClr"/>
        </a:solidFill>
        <a:round/>
      </a:ln>
    </cs:spPr>
  </cs:dataPointLine>
  <cs:dataPointMarker>
    <cs:lnRef idx="0">
      <cs:styleClr val="auto"/>
    </cs:lnRef>
    <cs:fillRef idx="3">
      <cs:styleClr val="auto"/>
    </cs:fillRef>
    <cs:effectRef idx="2"/>
    <cs:fontRef idx="minor">
      <a:schemeClr val="tx2"/>
    </cs:fontRef>
    <cs:spPr>
      <a:ln w="9525">
        <a:solidFill>
          <a:schemeClr val="phClr"/>
        </a:solidFill>
        <a:round/>
      </a:ln>
    </cs:spPr>
  </cs:dataPointMarker>
  <cs:dataPointMarkerLayout symbol="circle" size="5"/>
  <cs:dataPointWireframe>
    <cs:lnRef idx="0">
      <cs:styleClr val="auto"/>
    </cs:lnRef>
    <cs:fillRef idx="3"/>
    <cs:effectRef idx="2"/>
    <cs:fontRef idx="minor">
      <a:schemeClr val="tx2"/>
    </cs:fontRef>
    <cs:spPr>
      <a:ln w="9525" cap="rnd">
        <a:solidFill>
          <a:schemeClr val="phClr"/>
        </a:solidFill>
        <a:round/>
      </a:ln>
    </cs:spPr>
  </cs:dataPointWireframe>
  <cs:dataTable>
    <cs:lnRef idx="0"/>
    <cs:fillRef idx="0"/>
    <cs:effectRef idx="0"/>
    <cs:fontRef idx="minor">
      <a:schemeClr val="tx2"/>
    </cs:fontRef>
    <cs:spPr>
      <a:ln w="9525">
        <a:solidFill>
          <a:schemeClr val="tx2">
            <a:lumMod val="15000"/>
            <a:lumOff val="85000"/>
          </a:schemeClr>
        </a:solidFill>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2"/>
    </cs:fontRef>
    <cs:spPr>
      <a:ln w="9525">
        <a:solidFill>
          <a:schemeClr val="tx2">
            <a:lumMod val="60000"/>
            <a:lumOff val="40000"/>
          </a:schemeClr>
        </a:solidFill>
        <a:prstDash val="dash"/>
      </a:ln>
    </cs:spPr>
  </cs:dropLine>
  <cs:errorBar>
    <cs:lnRef idx="0"/>
    <cs:fillRef idx="0"/>
    <cs:effectRef idx="0"/>
    <cs:fontRef idx="minor">
      <a:schemeClr val="tx2"/>
    </cs:fontRef>
    <cs:spPr>
      <a:ln w="9525">
        <a:solidFill>
          <a:schemeClr val="tx2">
            <a:lumMod val="75000"/>
          </a:schemeClr>
        </a:solidFill>
        <a:round/>
      </a:ln>
    </cs:spPr>
  </cs:errorBar>
  <cs:floor>
    <cs:lnRef idx="0"/>
    <cs:fillRef idx="0"/>
    <cs:effectRef idx="0"/>
    <cs:fontRef idx="minor">
      <a:schemeClr val="tx2"/>
    </cs:fontRef>
  </cs:floor>
  <cs:gridlineMajor>
    <cs:lnRef idx="0"/>
    <cs:fillRef idx="0"/>
    <cs:effectRef idx="0"/>
    <cs:fontRef idx="minor">
      <a:schemeClr val="tx2"/>
    </cs:fontRef>
    <cs:spPr>
      <a:ln w="9525" cap="flat" cmpd="sng" algn="ctr">
        <a:solidFill>
          <a:schemeClr val="tx2">
            <a:lumMod val="15000"/>
            <a:lumOff val="85000"/>
          </a:schemeClr>
        </a:solidFill>
        <a:round/>
      </a:ln>
    </cs:spPr>
  </cs:gridlineMajor>
  <cs:gridlineMinor>
    <cs:lnRef idx="0"/>
    <cs:fillRef idx="0"/>
    <cs:effectRef idx="0"/>
    <cs:fontRef idx="minor">
      <a:schemeClr val="tx2"/>
    </cs:fontRef>
    <cs:spPr>
      <a:ln>
        <a:solidFill>
          <a:schemeClr val="tx2">
            <a:lumMod val="5000"/>
            <a:lumOff val="95000"/>
          </a:schemeClr>
        </a:solidFill>
      </a:ln>
    </cs:spPr>
  </cs:gridlineMinor>
  <cs:hiLoLine>
    <cs:lnRef idx="0"/>
    <cs:fillRef idx="0"/>
    <cs:effectRef idx="0"/>
    <cs:fontRef idx="minor">
      <a:schemeClr val="tx2"/>
    </cs:fontRef>
    <cs:spPr>
      <a:ln w="9525">
        <a:solidFill>
          <a:schemeClr val="tx2">
            <a:lumMod val="60000"/>
            <a:lumOff val="40000"/>
          </a:schemeClr>
        </a:solidFill>
        <a:prstDash val="dash"/>
      </a:ln>
    </cs:spPr>
  </cs:hiLoLine>
  <cs:leaderLine>
    <cs:lnRef idx="0"/>
    <cs:fillRef idx="0"/>
    <cs:effectRef idx="0"/>
    <cs:fontRef idx="minor">
      <a:schemeClr val="tx2"/>
    </cs:fontRef>
    <cs:spPr>
      <a:ln w="9525">
        <a:solidFill>
          <a:schemeClr val="tx2">
            <a:lumMod val="35000"/>
            <a:lumOff val="65000"/>
          </a:schemeClr>
        </a:solidFill>
      </a:ln>
    </cs:spPr>
  </cs:leaderLine>
  <cs:legend>
    <cs:lnRef idx="0"/>
    <cs:fillRef idx="0"/>
    <cs:effectRef idx="0"/>
    <cs:fontRef idx="minor">
      <a:schemeClr val="tx2"/>
    </cs:fontRef>
    <cs:defRPr sz="900" kern="1200"/>
  </cs:legend>
  <cs:plotArea>
    <cs:lnRef idx="0"/>
    <cs:fillRef idx="0"/>
    <cs:effectRef idx="0"/>
    <cs:fontRef idx="minor">
      <a:schemeClr val="tx2"/>
    </cs:fontRef>
  </cs:plotArea>
  <cs:plotArea3D>
    <cs:lnRef idx="0"/>
    <cs:fillRef idx="0"/>
    <cs:effectRef idx="0"/>
    <cs:fontRef idx="minor">
      <a:schemeClr val="tx2"/>
    </cs:fontRef>
  </cs:plotArea3D>
  <cs:seriesAxis>
    <cs:lnRef idx="0"/>
    <cs:fillRef idx="0"/>
    <cs:effectRef idx="0"/>
    <cs:fontRef idx="minor">
      <a:schemeClr val="tx2"/>
    </cs:fontRef>
    <cs:spPr>
      <a:ln w="9525" cap="flat" cmpd="sng" algn="ctr">
        <a:solidFill>
          <a:schemeClr val="tx2">
            <a:lumMod val="15000"/>
            <a:lumOff val="85000"/>
          </a:schemeClr>
        </a:solidFill>
        <a:round/>
      </a:ln>
    </cs:spPr>
    <cs:defRPr sz="900" kern="1200"/>
  </cs:seriesAxis>
  <cs:seriesLine>
    <cs:lnRef idx="0"/>
    <cs:fillRef idx="0"/>
    <cs:effectRef idx="0"/>
    <cs:fontRef idx="minor">
      <a:schemeClr val="tx2"/>
    </cs:fontRef>
    <cs:spPr>
      <a:ln w="9525">
        <a:solidFill>
          <a:schemeClr val="tx2">
            <a:lumMod val="60000"/>
            <a:lumOff val="40000"/>
          </a:schemeClr>
        </a:solidFill>
        <a:prstDash val="dash"/>
      </a:ln>
    </cs:spPr>
  </cs:seriesLine>
  <cs:title>
    <cs:lnRef idx="0"/>
    <cs:fillRef idx="0"/>
    <cs:effectRef idx="0"/>
    <cs:fontRef idx="minor">
      <a:schemeClr val="tx2"/>
    </cs:fontRef>
    <cs:defRPr sz="1600" b="1" kern="1200"/>
  </cs:title>
  <cs:trendline>
    <cs:lnRef idx="0">
      <cs:styleClr val="auto"/>
    </cs:lnRef>
    <cs:fillRef idx="0"/>
    <cs:effectRef idx="0"/>
    <cs:fontRef idx="minor">
      <a:schemeClr val="tx2"/>
    </cs:fontRef>
    <cs:spPr>
      <a:ln w="9525" cap="rnd">
        <a:solidFill>
          <a:schemeClr val="phClr"/>
        </a:solidFill>
      </a:ln>
    </cs:spPr>
  </cs:trendline>
  <cs:trendlineLabel>
    <cs:lnRef idx="0"/>
    <cs:fillRef idx="0"/>
    <cs:effectRef idx="0"/>
    <cs:fontRef idx="minor">
      <a:schemeClr val="tx2"/>
    </cs:fontRef>
    <cs:defRPr sz="900" kern="1200"/>
  </cs:trendlineLabel>
  <cs:upBar>
    <cs:lnRef idx="0"/>
    <cs:fillRef idx="0"/>
    <cs:effectRef idx="0"/>
    <cs:fontRef idx="minor">
      <a:schemeClr val="tx2"/>
    </cs:fontRef>
    <cs:spPr>
      <a:solidFill>
        <a:schemeClr val="lt1"/>
      </a:solidFill>
      <a:ln w="9525">
        <a:solidFill>
          <a:schemeClr val="tx1">
            <a:lumMod val="15000"/>
            <a:lumOff val="85000"/>
          </a:schemeClr>
        </a:solidFill>
      </a:ln>
    </cs:spPr>
  </cs:upBar>
  <cs:valueAxis>
    <cs:lnRef idx="0"/>
    <cs:fillRef idx="0"/>
    <cs:effectRef idx="0"/>
    <cs:fontRef idx="minor">
      <a:schemeClr val="tx2"/>
    </cs:fontRef>
    <cs:spPr>
      <a:ln>
        <a:solidFill>
          <a:schemeClr val="tx2">
            <a:lumMod val="40000"/>
            <a:lumOff val="60000"/>
          </a:schemeClr>
        </a:solidFill>
      </a:ln>
    </cs:spPr>
    <cs:defRPr sz="900" kern="1200"/>
  </cs:valueAxis>
  <cs:wall>
    <cs:lnRef idx="0"/>
    <cs:fillRef idx="0"/>
    <cs:effectRef idx="0"/>
    <cs:fontRef idx="minor">
      <a:schemeClr val="tx2"/>
    </cs:fontRef>
  </cs:wall>
</cs:chartStyle>
</file>

<file path=word/charts/style5.xml><?xml version="1.0" encoding="utf-8"?>
<cs:chartStyle xmlns:cs="http://schemas.microsoft.com/office/drawing/2012/chartStyle" xmlns:a="http://schemas.openxmlformats.org/drawingml/2006/main" id="242">
  <cs:axisTitle>
    <cs:lnRef idx="0"/>
    <cs:fillRef idx="0"/>
    <cs:effectRef idx="0"/>
    <cs:fontRef idx="minor">
      <a:schemeClr val="tx2"/>
    </cs:fontRef>
    <cs:defRPr sz="900" b="1" kern="1200"/>
  </cs:axisTitle>
  <cs:categoryAxis>
    <cs:lnRef idx="0"/>
    <cs:fillRef idx="0"/>
    <cs:effectRef idx="0"/>
    <cs:fontRef idx="minor">
      <a:schemeClr val="tx2"/>
    </cs:fontRef>
    <cs:spPr>
      <a:ln w="9525" cap="flat" cmpd="sng" algn="ctr">
        <a:solidFill>
          <a:schemeClr val="tx2">
            <a:lumMod val="15000"/>
            <a:lumOff val="85000"/>
          </a:schemeClr>
        </a:solidFill>
        <a:round/>
      </a:ln>
    </cs:spPr>
    <cs:defRPr sz="900" kern="1200"/>
  </cs:categoryAxis>
  <cs:chartArea mods="allowNoFillOverride allowNoLineOverride">
    <cs:lnRef idx="0"/>
    <cs:fillRef idx="0"/>
    <cs:effectRef idx="0"/>
    <cs:fontRef idx="minor">
      <a:schemeClr val="tx2"/>
    </cs:fontRef>
    <cs:spPr>
      <a:solidFill>
        <a:schemeClr val="bg1"/>
      </a:solidFill>
      <a:ln w="9525" cap="flat" cmpd="sng" algn="ctr">
        <a:solidFill>
          <a:schemeClr val="tx2">
            <a:lumMod val="15000"/>
            <a:lumOff val="85000"/>
          </a:schemeClr>
        </a:solidFill>
        <a:round/>
      </a:ln>
    </cs:spPr>
    <cs:defRPr sz="900" kern="1200"/>
  </cs:chartArea>
  <cs:dataLabel>
    <cs:lnRef idx="0"/>
    <cs:fillRef idx="0"/>
    <cs:effectRef idx="0"/>
    <cs:fontRef idx="minor">
      <a:schemeClr val="tx2"/>
    </cs:fontRef>
    <cs:defRPr sz="900" kern="1200"/>
  </cs:dataLabel>
  <cs:dataLabelCallout>
    <cs:lnRef idx="0"/>
    <cs:fillRef idx="0"/>
    <cs:effectRef idx="0"/>
    <cs:fontRef idx="minor">
      <a:schemeClr val="dk2">
        <a:lumMod val="7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3">
      <cs:styleClr val="auto"/>
    </cs:fillRef>
    <cs:effectRef idx="2"/>
    <cs:fontRef idx="minor">
      <a:schemeClr val="tx2"/>
    </cs:fontRef>
  </cs:dataPoint>
  <cs:dataPoint3D>
    <cs:lnRef idx="0"/>
    <cs:fillRef idx="3">
      <cs:styleClr val="auto"/>
    </cs:fillRef>
    <cs:effectRef idx="2"/>
    <cs:fontRef idx="minor">
      <a:schemeClr val="tx2"/>
    </cs:fontRef>
  </cs:dataPoint3D>
  <cs:dataPointLine>
    <cs:lnRef idx="0">
      <cs:styleClr val="auto"/>
    </cs:lnRef>
    <cs:fillRef idx="3"/>
    <cs:effectRef idx="2"/>
    <cs:fontRef idx="minor">
      <a:schemeClr val="tx2"/>
    </cs:fontRef>
    <cs:spPr>
      <a:ln w="9525" cap="rnd">
        <a:solidFill>
          <a:schemeClr val="phClr"/>
        </a:solidFill>
        <a:round/>
      </a:ln>
    </cs:spPr>
  </cs:dataPointLine>
  <cs:dataPointMarker>
    <cs:lnRef idx="0">
      <cs:styleClr val="auto"/>
    </cs:lnRef>
    <cs:fillRef idx="3">
      <cs:styleClr val="auto"/>
    </cs:fillRef>
    <cs:effectRef idx="2"/>
    <cs:fontRef idx="minor">
      <a:schemeClr val="tx2"/>
    </cs:fontRef>
    <cs:spPr>
      <a:ln w="9525">
        <a:solidFill>
          <a:schemeClr val="phClr"/>
        </a:solidFill>
        <a:round/>
      </a:ln>
    </cs:spPr>
  </cs:dataPointMarker>
  <cs:dataPointMarkerLayout symbol="circle" size="5"/>
  <cs:dataPointWireframe>
    <cs:lnRef idx="0">
      <cs:styleClr val="auto"/>
    </cs:lnRef>
    <cs:fillRef idx="3"/>
    <cs:effectRef idx="2"/>
    <cs:fontRef idx="minor">
      <a:schemeClr val="tx2"/>
    </cs:fontRef>
    <cs:spPr>
      <a:ln w="9525" cap="rnd">
        <a:solidFill>
          <a:schemeClr val="phClr"/>
        </a:solidFill>
        <a:round/>
      </a:ln>
    </cs:spPr>
  </cs:dataPointWireframe>
  <cs:dataTable>
    <cs:lnRef idx="0"/>
    <cs:fillRef idx="0"/>
    <cs:effectRef idx="0"/>
    <cs:fontRef idx="minor">
      <a:schemeClr val="tx2"/>
    </cs:fontRef>
    <cs:spPr>
      <a:ln w="9525">
        <a:solidFill>
          <a:schemeClr val="tx2">
            <a:lumMod val="15000"/>
            <a:lumOff val="85000"/>
          </a:schemeClr>
        </a:solidFill>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2"/>
    </cs:fontRef>
    <cs:spPr>
      <a:ln w="9525">
        <a:solidFill>
          <a:schemeClr val="tx2">
            <a:lumMod val="60000"/>
            <a:lumOff val="40000"/>
          </a:schemeClr>
        </a:solidFill>
        <a:prstDash val="dash"/>
      </a:ln>
    </cs:spPr>
  </cs:dropLine>
  <cs:errorBar>
    <cs:lnRef idx="0"/>
    <cs:fillRef idx="0"/>
    <cs:effectRef idx="0"/>
    <cs:fontRef idx="minor">
      <a:schemeClr val="tx2"/>
    </cs:fontRef>
    <cs:spPr>
      <a:ln w="9525">
        <a:solidFill>
          <a:schemeClr val="tx2">
            <a:lumMod val="75000"/>
          </a:schemeClr>
        </a:solidFill>
        <a:round/>
      </a:ln>
    </cs:spPr>
  </cs:errorBar>
  <cs:floor>
    <cs:lnRef idx="0"/>
    <cs:fillRef idx="0"/>
    <cs:effectRef idx="0"/>
    <cs:fontRef idx="minor">
      <a:schemeClr val="tx2"/>
    </cs:fontRef>
  </cs:floor>
  <cs:gridlineMajor>
    <cs:lnRef idx="0"/>
    <cs:fillRef idx="0"/>
    <cs:effectRef idx="0"/>
    <cs:fontRef idx="minor">
      <a:schemeClr val="tx2"/>
    </cs:fontRef>
    <cs:spPr>
      <a:ln w="9525" cap="flat" cmpd="sng" algn="ctr">
        <a:solidFill>
          <a:schemeClr val="tx2">
            <a:lumMod val="15000"/>
            <a:lumOff val="85000"/>
          </a:schemeClr>
        </a:solidFill>
        <a:round/>
      </a:ln>
    </cs:spPr>
  </cs:gridlineMajor>
  <cs:gridlineMinor>
    <cs:lnRef idx="0"/>
    <cs:fillRef idx="0"/>
    <cs:effectRef idx="0"/>
    <cs:fontRef idx="minor">
      <a:schemeClr val="tx2"/>
    </cs:fontRef>
    <cs:spPr>
      <a:ln>
        <a:solidFill>
          <a:schemeClr val="tx2">
            <a:lumMod val="5000"/>
            <a:lumOff val="95000"/>
          </a:schemeClr>
        </a:solidFill>
      </a:ln>
    </cs:spPr>
  </cs:gridlineMinor>
  <cs:hiLoLine>
    <cs:lnRef idx="0"/>
    <cs:fillRef idx="0"/>
    <cs:effectRef idx="0"/>
    <cs:fontRef idx="minor">
      <a:schemeClr val="tx2"/>
    </cs:fontRef>
    <cs:spPr>
      <a:ln w="9525">
        <a:solidFill>
          <a:schemeClr val="tx2">
            <a:lumMod val="60000"/>
            <a:lumOff val="40000"/>
          </a:schemeClr>
        </a:solidFill>
        <a:prstDash val="dash"/>
      </a:ln>
    </cs:spPr>
  </cs:hiLoLine>
  <cs:leaderLine>
    <cs:lnRef idx="0"/>
    <cs:fillRef idx="0"/>
    <cs:effectRef idx="0"/>
    <cs:fontRef idx="minor">
      <a:schemeClr val="tx2"/>
    </cs:fontRef>
    <cs:spPr>
      <a:ln w="9525">
        <a:solidFill>
          <a:schemeClr val="tx2">
            <a:lumMod val="35000"/>
            <a:lumOff val="65000"/>
          </a:schemeClr>
        </a:solidFill>
      </a:ln>
    </cs:spPr>
  </cs:leaderLine>
  <cs:legend>
    <cs:lnRef idx="0"/>
    <cs:fillRef idx="0"/>
    <cs:effectRef idx="0"/>
    <cs:fontRef idx="minor">
      <a:schemeClr val="tx2"/>
    </cs:fontRef>
    <cs:defRPr sz="900" kern="1200"/>
  </cs:legend>
  <cs:plotArea>
    <cs:lnRef idx="0"/>
    <cs:fillRef idx="0"/>
    <cs:effectRef idx="0"/>
    <cs:fontRef idx="minor">
      <a:schemeClr val="tx2"/>
    </cs:fontRef>
  </cs:plotArea>
  <cs:plotArea3D>
    <cs:lnRef idx="0"/>
    <cs:fillRef idx="0"/>
    <cs:effectRef idx="0"/>
    <cs:fontRef idx="minor">
      <a:schemeClr val="tx2"/>
    </cs:fontRef>
  </cs:plotArea3D>
  <cs:seriesAxis>
    <cs:lnRef idx="0"/>
    <cs:fillRef idx="0"/>
    <cs:effectRef idx="0"/>
    <cs:fontRef idx="minor">
      <a:schemeClr val="tx2"/>
    </cs:fontRef>
    <cs:spPr>
      <a:ln w="9525" cap="flat" cmpd="sng" algn="ctr">
        <a:solidFill>
          <a:schemeClr val="tx2">
            <a:lumMod val="15000"/>
            <a:lumOff val="85000"/>
          </a:schemeClr>
        </a:solidFill>
        <a:round/>
      </a:ln>
    </cs:spPr>
    <cs:defRPr sz="900" kern="1200"/>
  </cs:seriesAxis>
  <cs:seriesLine>
    <cs:lnRef idx="0"/>
    <cs:fillRef idx="0"/>
    <cs:effectRef idx="0"/>
    <cs:fontRef idx="minor">
      <a:schemeClr val="tx2"/>
    </cs:fontRef>
    <cs:spPr>
      <a:ln w="9525">
        <a:solidFill>
          <a:schemeClr val="tx2">
            <a:lumMod val="60000"/>
            <a:lumOff val="40000"/>
          </a:schemeClr>
        </a:solidFill>
        <a:prstDash val="dash"/>
      </a:ln>
    </cs:spPr>
  </cs:seriesLine>
  <cs:title>
    <cs:lnRef idx="0"/>
    <cs:fillRef idx="0"/>
    <cs:effectRef idx="0"/>
    <cs:fontRef idx="minor">
      <a:schemeClr val="tx2"/>
    </cs:fontRef>
    <cs:defRPr sz="1600" b="1" kern="1200"/>
  </cs:title>
  <cs:trendline>
    <cs:lnRef idx="0">
      <cs:styleClr val="auto"/>
    </cs:lnRef>
    <cs:fillRef idx="0"/>
    <cs:effectRef idx="0"/>
    <cs:fontRef idx="minor">
      <a:schemeClr val="tx2"/>
    </cs:fontRef>
    <cs:spPr>
      <a:ln w="9525" cap="rnd">
        <a:solidFill>
          <a:schemeClr val="phClr"/>
        </a:solidFill>
      </a:ln>
    </cs:spPr>
  </cs:trendline>
  <cs:trendlineLabel>
    <cs:lnRef idx="0"/>
    <cs:fillRef idx="0"/>
    <cs:effectRef idx="0"/>
    <cs:fontRef idx="minor">
      <a:schemeClr val="tx2"/>
    </cs:fontRef>
    <cs:defRPr sz="900" kern="1200"/>
  </cs:trendlineLabel>
  <cs:upBar>
    <cs:lnRef idx="0"/>
    <cs:fillRef idx="0"/>
    <cs:effectRef idx="0"/>
    <cs:fontRef idx="minor">
      <a:schemeClr val="tx2"/>
    </cs:fontRef>
    <cs:spPr>
      <a:solidFill>
        <a:schemeClr val="lt1"/>
      </a:solidFill>
      <a:ln w="9525">
        <a:solidFill>
          <a:schemeClr val="tx1">
            <a:lumMod val="15000"/>
            <a:lumOff val="85000"/>
          </a:schemeClr>
        </a:solidFill>
      </a:ln>
    </cs:spPr>
  </cs:upBar>
  <cs:valueAxis>
    <cs:lnRef idx="0"/>
    <cs:fillRef idx="0"/>
    <cs:effectRef idx="0"/>
    <cs:fontRef idx="minor">
      <a:schemeClr val="tx2"/>
    </cs:fontRef>
    <cs:spPr>
      <a:ln>
        <a:solidFill>
          <a:schemeClr val="tx2">
            <a:lumMod val="40000"/>
            <a:lumOff val="60000"/>
          </a:schemeClr>
        </a:solidFill>
      </a:ln>
    </cs:spPr>
    <cs:defRPr sz="900" kern="1200"/>
  </cs:valueAxis>
  <cs:wall>
    <cs:lnRef idx="0"/>
    <cs:fillRef idx="0"/>
    <cs:effectRef idx="0"/>
    <cs:fontRef idx="minor">
      <a:schemeClr val="tx2"/>
    </cs:fontRef>
  </cs:wall>
</cs:chartStyle>
</file>

<file path=word/charts/style6.xml><?xml version="1.0" encoding="utf-8"?>
<cs:chartStyle xmlns:cs="http://schemas.microsoft.com/office/drawing/2012/chartStyle" xmlns:a="http://schemas.openxmlformats.org/drawingml/2006/main" id="242">
  <cs:axisTitle>
    <cs:lnRef idx="0"/>
    <cs:fillRef idx="0"/>
    <cs:effectRef idx="0"/>
    <cs:fontRef idx="minor">
      <a:schemeClr val="tx2"/>
    </cs:fontRef>
    <cs:defRPr sz="900" b="1" kern="1200"/>
  </cs:axisTitle>
  <cs:categoryAxis>
    <cs:lnRef idx="0"/>
    <cs:fillRef idx="0"/>
    <cs:effectRef idx="0"/>
    <cs:fontRef idx="minor">
      <a:schemeClr val="tx2"/>
    </cs:fontRef>
    <cs:spPr>
      <a:ln w="9525" cap="flat" cmpd="sng" algn="ctr">
        <a:solidFill>
          <a:schemeClr val="tx2">
            <a:lumMod val="15000"/>
            <a:lumOff val="85000"/>
          </a:schemeClr>
        </a:solidFill>
        <a:round/>
      </a:ln>
    </cs:spPr>
    <cs:defRPr sz="900" kern="1200"/>
  </cs:categoryAxis>
  <cs:chartArea mods="allowNoFillOverride allowNoLineOverride">
    <cs:lnRef idx="0"/>
    <cs:fillRef idx="0"/>
    <cs:effectRef idx="0"/>
    <cs:fontRef idx="minor">
      <a:schemeClr val="tx2"/>
    </cs:fontRef>
    <cs:spPr>
      <a:solidFill>
        <a:schemeClr val="bg1"/>
      </a:solidFill>
      <a:ln w="9525" cap="flat" cmpd="sng" algn="ctr">
        <a:solidFill>
          <a:schemeClr val="tx2">
            <a:lumMod val="15000"/>
            <a:lumOff val="85000"/>
          </a:schemeClr>
        </a:solidFill>
        <a:round/>
      </a:ln>
    </cs:spPr>
    <cs:defRPr sz="900" kern="1200"/>
  </cs:chartArea>
  <cs:dataLabel>
    <cs:lnRef idx="0"/>
    <cs:fillRef idx="0"/>
    <cs:effectRef idx="0"/>
    <cs:fontRef idx="minor">
      <a:schemeClr val="tx2"/>
    </cs:fontRef>
    <cs:defRPr sz="900" kern="1200"/>
  </cs:dataLabel>
  <cs:dataLabelCallout>
    <cs:lnRef idx="0"/>
    <cs:fillRef idx="0"/>
    <cs:effectRef idx="0"/>
    <cs:fontRef idx="minor">
      <a:schemeClr val="dk2">
        <a:lumMod val="7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3">
      <cs:styleClr val="auto"/>
    </cs:fillRef>
    <cs:effectRef idx="2"/>
    <cs:fontRef idx="minor">
      <a:schemeClr val="tx2"/>
    </cs:fontRef>
  </cs:dataPoint>
  <cs:dataPoint3D>
    <cs:lnRef idx="0"/>
    <cs:fillRef idx="3">
      <cs:styleClr val="auto"/>
    </cs:fillRef>
    <cs:effectRef idx="2"/>
    <cs:fontRef idx="minor">
      <a:schemeClr val="tx2"/>
    </cs:fontRef>
  </cs:dataPoint3D>
  <cs:dataPointLine>
    <cs:lnRef idx="0">
      <cs:styleClr val="auto"/>
    </cs:lnRef>
    <cs:fillRef idx="3"/>
    <cs:effectRef idx="2"/>
    <cs:fontRef idx="minor">
      <a:schemeClr val="tx2"/>
    </cs:fontRef>
    <cs:spPr>
      <a:ln w="9525" cap="rnd">
        <a:solidFill>
          <a:schemeClr val="phClr"/>
        </a:solidFill>
        <a:round/>
      </a:ln>
    </cs:spPr>
  </cs:dataPointLine>
  <cs:dataPointMarker>
    <cs:lnRef idx="0">
      <cs:styleClr val="auto"/>
    </cs:lnRef>
    <cs:fillRef idx="3">
      <cs:styleClr val="auto"/>
    </cs:fillRef>
    <cs:effectRef idx="2"/>
    <cs:fontRef idx="minor">
      <a:schemeClr val="tx2"/>
    </cs:fontRef>
    <cs:spPr>
      <a:ln w="9525">
        <a:solidFill>
          <a:schemeClr val="phClr"/>
        </a:solidFill>
        <a:round/>
      </a:ln>
    </cs:spPr>
  </cs:dataPointMarker>
  <cs:dataPointMarkerLayout symbol="circle" size="5"/>
  <cs:dataPointWireframe>
    <cs:lnRef idx="0">
      <cs:styleClr val="auto"/>
    </cs:lnRef>
    <cs:fillRef idx="3"/>
    <cs:effectRef idx="2"/>
    <cs:fontRef idx="minor">
      <a:schemeClr val="tx2"/>
    </cs:fontRef>
    <cs:spPr>
      <a:ln w="9525" cap="rnd">
        <a:solidFill>
          <a:schemeClr val="phClr"/>
        </a:solidFill>
        <a:round/>
      </a:ln>
    </cs:spPr>
  </cs:dataPointWireframe>
  <cs:dataTable>
    <cs:lnRef idx="0"/>
    <cs:fillRef idx="0"/>
    <cs:effectRef idx="0"/>
    <cs:fontRef idx="minor">
      <a:schemeClr val="tx2"/>
    </cs:fontRef>
    <cs:spPr>
      <a:ln w="9525">
        <a:solidFill>
          <a:schemeClr val="tx2">
            <a:lumMod val="15000"/>
            <a:lumOff val="85000"/>
          </a:schemeClr>
        </a:solidFill>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2"/>
    </cs:fontRef>
    <cs:spPr>
      <a:ln w="9525">
        <a:solidFill>
          <a:schemeClr val="tx2">
            <a:lumMod val="60000"/>
            <a:lumOff val="40000"/>
          </a:schemeClr>
        </a:solidFill>
        <a:prstDash val="dash"/>
      </a:ln>
    </cs:spPr>
  </cs:dropLine>
  <cs:errorBar>
    <cs:lnRef idx="0"/>
    <cs:fillRef idx="0"/>
    <cs:effectRef idx="0"/>
    <cs:fontRef idx="minor">
      <a:schemeClr val="tx2"/>
    </cs:fontRef>
    <cs:spPr>
      <a:ln w="9525">
        <a:solidFill>
          <a:schemeClr val="tx2">
            <a:lumMod val="75000"/>
          </a:schemeClr>
        </a:solidFill>
        <a:round/>
      </a:ln>
    </cs:spPr>
  </cs:errorBar>
  <cs:floor>
    <cs:lnRef idx="0"/>
    <cs:fillRef idx="0"/>
    <cs:effectRef idx="0"/>
    <cs:fontRef idx="minor">
      <a:schemeClr val="tx2"/>
    </cs:fontRef>
  </cs:floor>
  <cs:gridlineMajor>
    <cs:lnRef idx="0"/>
    <cs:fillRef idx="0"/>
    <cs:effectRef idx="0"/>
    <cs:fontRef idx="minor">
      <a:schemeClr val="tx2"/>
    </cs:fontRef>
    <cs:spPr>
      <a:ln w="9525" cap="flat" cmpd="sng" algn="ctr">
        <a:solidFill>
          <a:schemeClr val="tx2">
            <a:lumMod val="15000"/>
            <a:lumOff val="85000"/>
          </a:schemeClr>
        </a:solidFill>
        <a:round/>
      </a:ln>
    </cs:spPr>
  </cs:gridlineMajor>
  <cs:gridlineMinor>
    <cs:lnRef idx="0"/>
    <cs:fillRef idx="0"/>
    <cs:effectRef idx="0"/>
    <cs:fontRef idx="minor">
      <a:schemeClr val="tx2"/>
    </cs:fontRef>
    <cs:spPr>
      <a:ln>
        <a:solidFill>
          <a:schemeClr val="tx2">
            <a:lumMod val="5000"/>
            <a:lumOff val="95000"/>
          </a:schemeClr>
        </a:solidFill>
      </a:ln>
    </cs:spPr>
  </cs:gridlineMinor>
  <cs:hiLoLine>
    <cs:lnRef idx="0"/>
    <cs:fillRef idx="0"/>
    <cs:effectRef idx="0"/>
    <cs:fontRef idx="minor">
      <a:schemeClr val="tx2"/>
    </cs:fontRef>
    <cs:spPr>
      <a:ln w="9525">
        <a:solidFill>
          <a:schemeClr val="tx2">
            <a:lumMod val="60000"/>
            <a:lumOff val="40000"/>
          </a:schemeClr>
        </a:solidFill>
        <a:prstDash val="dash"/>
      </a:ln>
    </cs:spPr>
  </cs:hiLoLine>
  <cs:leaderLine>
    <cs:lnRef idx="0"/>
    <cs:fillRef idx="0"/>
    <cs:effectRef idx="0"/>
    <cs:fontRef idx="minor">
      <a:schemeClr val="tx2"/>
    </cs:fontRef>
    <cs:spPr>
      <a:ln w="9525">
        <a:solidFill>
          <a:schemeClr val="tx2">
            <a:lumMod val="35000"/>
            <a:lumOff val="65000"/>
          </a:schemeClr>
        </a:solidFill>
      </a:ln>
    </cs:spPr>
  </cs:leaderLine>
  <cs:legend>
    <cs:lnRef idx="0"/>
    <cs:fillRef idx="0"/>
    <cs:effectRef idx="0"/>
    <cs:fontRef idx="minor">
      <a:schemeClr val="tx2"/>
    </cs:fontRef>
    <cs:defRPr sz="900" kern="1200"/>
  </cs:legend>
  <cs:plotArea>
    <cs:lnRef idx="0"/>
    <cs:fillRef idx="0"/>
    <cs:effectRef idx="0"/>
    <cs:fontRef idx="minor">
      <a:schemeClr val="tx2"/>
    </cs:fontRef>
  </cs:plotArea>
  <cs:plotArea3D>
    <cs:lnRef idx="0"/>
    <cs:fillRef idx="0"/>
    <cs:effectRef idx="0"/>
    <cs:fontRef idx="minor">
      <a:schemeClr val="tx2"/>
    </cs:fontRef>
  </cs:plotArea3D>
  <cs:seriesAxis>
    <cs:lnRef idx="0"/>
    <cs:fillRef idx="0"/>
    <cs:effectRef idx="0"/>
    <cs:fontRef idx="minor">
      <a:schemeClr val="tx2"/>
    </cs:fontRef>
    <cs:spPr>
      <a:ln w="9525" cap="flat" cmpd="sng" algn="ctr">
        <a:solidFill>
          <a:schemeClr val="tx2">
            <a:lumMod val="15000"/>
            <a:lumOff val="85000"/>
          </a:schemeClr>
        </a:solidFill>
        <a:round/>
      </a:ln>
    </cs:spPr>
    <cs:defRPr sz="900" kern="1200"/>
  </cs:seriesAxis>
  <cs:seriesLine>
    <cs:lnRef idx="0"/>
    <cs:fillRef idx="0"/>
    <cs:effectRef idx="0"/>
    <cs:fontRef idx="minor">
      <a:schemeClr val="tx2"/>
    </cs:fontRef>
    <cs:spPr>
      <a:ln w="9525">
        <a:solidFill>
          <a:schemeClr val="tx2">
            <a:lumMod val="60000"/>
            <a:lumOff val="40000"/>
          </a:schemeClr>
        </a:solidFill>
        <a:prstDash val="dash"/>
      </a:ln>
    </cs:spPr>
  </cs:seriesLine>
  <cs:title>
    <cs:lnRef idx="0"/>
    <cs:fillRef idx="0"/>
    <cs:effectRef idx="0"/>
    <cs:fontRef idx="minor">
      <a:schemeClr val="tx2"/>
    </cs:fontRef>
    <cs:defRPr sz="1600" b="1" kern="1200"/>
  </cs:title>
  <cs:trendline>
    <cs:lnRef idx="0">
      <cs:styleClr val="auto"/>
    </cs:lnRef>
    <cs:fillRef idx="0"/>
    <cs:effectRef idx="0"/>
    <cs:fontRef idx="minor">
      <a:schemeClr val="tx2"/>
    </cs:fontRef>
    <cs:spPr>
      <a:ln w="9525" cap="rnd">
        <a:solidFill>
          <a:schemeClr val="phClr"/>
        </a:solidFill>
      </a:ln>
    </cs:spPr>
  </cs:trendline>
  <cs:trendlineLabel>
    <cs:lnRef idx="0"/>
    <cs:fillRef idx="0"/>
    <cs:effectRef idx="0"/>
    <cs:fontRef idx="minor">
      <a:schemeClr val="tx2"/>
    </cs:fontRef>
    <cs:defRPr sz="900" kern="1200"/>
  </cs:trendlineLabel>
  <cs:upBar>
    <cs:lnRef idx="0"/>
    <cs:fillRef idx="0"/>
    <cs:effectRef idx="0"/>
    <cs:fontRef idx="minor">
      <a:schemeClr val="tx2"/>
    </cs:fontRef>
    <cs:spPr>
      <a:solidFill>
        <a:schemeClr val="lt1"/>
      </a:solidFill>
      <a:ln w="9525">
        <a:solidFill>
          <a:schemeClr val="tx1">
            <a:lumMod val="15000"/>
            <a:lumOff val="85000"/>
          </a:schemeClr>
        </a:solidFill>
      </a:ln>
    </cs:spPr>
  </cs:upBar>
  <cs:valueAxis>
    <cs:lnRef idx="0"/>
    <cs:fillRef idx="0"/>
    <cs:effectRef idx="0"/>
    <cs:fontRef idx="minor">
      <a:schemeClr val="tx2"/>
    </cs:fontRef>
    <cs:spPr>
      <a:ln>
        <a:solidFill>
          <a:schemeClr val="tx2">
            <a:lumMod val="40000"/>
            <a:lumOff val="60000"/>
          </a:schemeClr>
        </a:solidFill>
      </a:ln>
    </cs:spPr>
    <cs:defRPr sz="900" kern="1200"/>
  </cs:valueAxis>
  <cs:wall>
    <cs:lnRef idx="0"/>
    <cs:fillRef idx="0"/>
    <cs:effectRef idx="0"/>
    <cs:fontRef idx="minor">
      <a:schemeClr val="tx2"/>
    </cs:fontRef>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go:gDocsCustomXmlDataStorage xmlns:go="http://customooxmlschemas.google.com/" xmlns:r="http://schemas.openxmlformats.org/officeDocument/2006/relationships">
  <go:docsCustomData xmlns:go="http://customooxmlschemas.google.com/" roundtripDataSignature="AMtx7mi5suF53E/F2GWuom32c2iPrulYMQ==">AMUW2mU1c/0M2Tq+aiwfoxJvMSSkY+B51smXaKoyIUWPiH5X8cp3KXDsgyByMJwyodFsCAXyC0A3jAJF4/8LLY1dsqezsSWeGUqXC4iR1nyMjOlPnW7x9Bl0c43IAM4Dxn5+L9Zlu1sE</go:docsCustomData>
</go:gDocsCustomXmlDataStorage>
</file>

<file path=customXml/itemProps1.xml><?xml version="1.0" encoding="utf-8"?>
<ds:datastoreItem xmlns:ds="http://schemas.openxmlformats.org/officeDocument/2006/customXml" ds:itemID="{B1109C41-67A8-4884-97E9-2079595EB202}">
  <ds:schemaRefs>
    <ds:schemaRef ds:uri="http://schemas.openxmlformats.org/officeDocument/2006/bibliography"/>
  </ds:schemaRefs>
</ds:datastoreItem>
</file>

<file path=customXml/itemProps2.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1374</TotalTime>
  <Pages>14</Pages>
  <Words>6372</Words>
  <Characters>36325</Characters>
  <Application>Microsoft Office Word</Application>
  <DocSecurity>0</DocSecurity>
  <Lines>302</Lines>
  <Paragraphs>85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42612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Imran Rony</dc:creator>
  <cp:lastModifiedBy>Deputy Vice Chancellor  for Research</cp:lastModifiedBy>
  <cp:revision>12</cp:revision>
  <cp:lastPrinted>2026-01-16T07:17:00Z</cp:lastPrinted>
  <dcterms:created xsi:type="dcterms:W3CDTF">2026-01-18T11:36:00Z</dcterms:created>
  <dcterms:modified xsi:type="dcterms:W3CDTF">2026-01-19T05:03:00Z</dcterms:modified>
</cp:coreProperties>
</file>